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10207" w:type="dxa"/>
        <w:tblInd w:w="-601" w:type="dxa"/>
        <w:tblLook w:val="04A0" w:firstRow="1" w:lastRow="0" w:firstColumn="1" w:lastColumn="0" w:noHBand="0" w:noVBand="1"/>
      </w:tblPr>
      <w:tblGrid>
        <w:gridCol w:w="5214"/>
        <w:gridCol w:w="4993"/>
      </w:tblGrid>
      <w:tr w:rsidR="008D160C" w:rsidRPr="00DF21EC" w14:paraId="24CCAE51" w14:textId="77777777" w:rsidTr="00E97189">
        <w:trPr>
          <w:trHeight w:val="504"/>
        </w:trPr>
        <w:tc>
          <w:tcPr>
            <w:tcW w:w="10207" w:type="dxa"/>
            <w:gridSpan w:val="2"/>
            <w:vAlign w:val="center"/>
          </w:tcPr>
          <w:p w14:paraId="0DF5ABCE" w14:textId="77777777" w:rsidR="008D160C" w:rsidRPr="00DF21EC" w:rsidRDefault="008D160C" w:rsidP="008D160C">
            <w:pPr>
              <w:jc w:val="center"/>
              <w:rPr>
                <w:rFonts w:ascii="Arial" w:hAnsi="Arial" w:cs="Arial"/>
                <w:b/>
                <w:sz w:val="24"/>
                <w:szCs w:val="24"/>
              </w:rPr>
            </w:pPr>
            <w:r w:rsidRPr="00DF21EC">
              <w:rPr>
                <w:rFonts w:ascii="Arial" w:hAnsi="Arial" w:cs="Arial"/>
                <w:b/>
                <w:sz w:val="24"/>
                <w:szCs w:val="24"/>
              </w:rPr>
              <w:t>DOKUMENT ZA INTERNETSKO SAVJETOVANJE O NACRTU OPĆEG AKTA</w:t>
            </w:r>
          </w:p>
        </w:tc>
      </w:tr>
      <w:tr w:rsidR="008D160C" w:rsidRPr="00DF21EC" w14:paraId="59B6AA0D" w14:textId="77777777" w:rsidTr="00DF21EC">
        <w:trPr>
          <w:trHeight w:val="746"/>
        </w:trPr>
        <w:tc>
          <w:tcPr>
            <w:tcW w:w="10207" w:type="dxa"/>
            <w:gridSpan w:val="2"/>
            <w:vAlign w:val="center"/>
          </w:tcPr>
          <w:p w14:paraId="7923490E" w14:textId="25AA75C2" w:rsidR="008D160C" w:rsidRPr="00DF21EC" w:rsidRDefault="001D0AB1" w:rsidP="007D1A53">
            <w:pPr>
              <w:jc w:val="center"/>
              <w:rPr>
                <w:rFonts w:ascii="Arial" w:hAnsi="Arial" w:cs="Arial"/>
                <w:b/>
                <w:sz w:val="24"/>
                <w:szCs w:val="24"/>
              </w:rPr>
            </w:pPr>
            <w:r w:rsidRPr="00DF21EC">
              <w:rPr>
                <w:rFonts w:ascii="Arial" w:hAnsi="Arial" w:cs="Arial"/>
                <w:b/>
                <w:sz w:val="24"/>
                <w:szCs w:val="24"/>
              </w:rPr>
              <w:t xml:space="preserve">Nacrt prijedloga </w:t>
            </w:r>
            <w:r w:rsidR="003F5E6C">
              <w:rPr>
                <w:rFonts w:ascii="Arial" w:hAnsi="Arial" w:cs="Arial"/>
                <w:b/>
                <w:sz w:val="24"/>
                <w:szCs w:val="24"/>
              </w:rPr>
              <w:t xml:space="preserve">Odluke o </w:t>
            </w:r>
            <w:r w:rsidR="007D1A53">
              <w:rPr>
                <w:rFonts w:ascii="Arial" w:hAnsi="Arial" w:cs="Arial"/>
                <w:b/>
                <w:sz w:val="24"/>
                <w:szCs w:val="24"/>
              </w:rPr>
              <w:t>komunalnoj naknadi</w:t>
            </w:r>
          </w:p>
        </w:tc>
      </w:tr>
      <w:tr w:rsidR="008D160C" w:rsidRPr="00DF21EC" w14:paraId="373352E1" w14:textId="77777777" w:rsidTr="00E97189">
        <w:trPr>
          <w:trHeight w:val="613"/>
        </w:trPr>
        <w:tc>
          <w:tcPr>
            <w:tcW w:w="10207" w:type="dxa"/>
            <w:gridSpan w:val="2"/>
            <w:vAlign w:val="center"/>
          </w:tcPr>
          <w:p w14:paraId="4FA69A40" w14:textId="77777777" w:rsidR="008D160C" w:rsidRPr="00DF21EC" w:rsidRDefault="008D160C" w:rsidP="008D160C">
            <w:pPr>
              <w:jc w:val="center"/>
              <w:rPr>
                <w:rFonts w:ascii="Arial" w:hAnsi="Arial" w:cs="Arial"/>
                <w:b/>
                <w:sz w:val="24"/>
                <w:szCs w:val="24"/>
              </w:rPr>
            </w:pPr>
            <w:r w:rsidRPr="00DF21EC">
              <w:rPr>
                <w:rFonts w:ascii="Arial" w:hAnsi="Arial" w:cs="Arial"/>
                <w:b/>
                <w:sz w:val="24"/>
                <w:szCs w:val="24"/>
              </w:rPr>
              <w:t>GRAD ČAKOVEC</w:t>
            </w:r>
          </w:p>
          <w:p w14:paraId="457867CF" w14:textId="6E5DB030" w:rsidR="008D160C" w:rsidRPr="00DF21EC" w:rsidRDefault="00DF21EC" w:rsidP="001B3B34">
            <w:pPr>
              <w:jc w:val="center"/>
              <w:rPr>
                <w:rFonts w:ascii="Arial" w:hAnsi="Arial" w:cs="Arial"/>
                <w:sz w:val="24"/>
                <w:szCs w:val="24"/>
              </w:rPr>
            </w:pPr>
            <w:r w:rsidRPr="00DF21EC">
              <w:rPr>
                <w:rFonts w:ascii="Arial" w:hAnsi="Arial" w:cs="Arial"/>
                <w:b/>
                <w:sz w:val="24"/>
                <w:szCs w:val="24"/>
              </w:rPr>
              <w:t xml:space="preserve">Upravni odjel za </w:t>
            </w:r>
            <w:r w:rsidR="007D1A53">
              <w:rPr>
                <w:rFonts w:ascii="Arial" w:hAnsi="Arial" w:cs="Arial"/>
                <w:b/>
                <w:sz w:val="24"/>
                <w:szCs w:val="24"/>
              </w:rPr>
              <w:t>komunalno gospodarstvo, izgradnju grada i upravljanje nekretninama</w:t>
            </w:r>
          </w:p>
        </w:tc>
      </w:tr>
      <w:tr w:rsidR="008D160C" w:rsidRPr="00DF21EC" w14:paraId="5E25AF4C" w14:textId="77777777" w:rsidTr="00E97189">
        <w:trPr>
          <w:trHeight w:val="759"/>
        </w:trPr>
        <w:tc>
          <w:tcPr>
            <w:tcW w:w="5214" w:type="dxa"/>
            <w:vAlign w:val="center"/>
          </w:tcPr>
          <w:p w14:paraId="46FF640B" w14:textId="77777777" w:rsidR="008D160C" w:rsidRPr="00DF21EC" w:rsidRDefault="008D160C" w:rsidP="008D160C">
            <w:pPr>
              <w:jc w:val="center"/>
              <w:rPr>
                <w:rFonts w:ascii="Arial" w:hAnsi="Arial" w:cs="Arial"/>
                <w:b/>
                <w:sz w:val="24"/>
                <w:szCs w:val="24"/>
                <w:u w:val="single"/>
              </w:rPr>
            </w:pPr>
            <w:r w:rsidRPr="00DF21EC">
              <w:rPr>
                <w:rFonts w:ascii="Arial" w:hAnsi="Arial" w:cs="Arial"/>
                <w:b/>
                <w:sz w:val="24"/>
                <w:szCs w:val="24"/>
                <w:u w:val="single"/>
              </w:rPr>
              <w:t>Početak savjetovanja</w:t>
            </w:r>
          </w:p>
          <w:p w14:paraId="4EADDFD3" w14:textId="769C88B2" w:rsidR="008D160C" w:rsidRPr="00DF21EC" w:rsidRDefault="007D1A53" w:rsidP="00DA0870">
            <w:pPr>
              <w:jc w:val="center"/>
              <w:rPr>
                <w:rFonts w:ascii="Arial" w:hAnsi="Arial" w:cs="Arial"/>
                <w:b/>
                <w:sz w:val="24"/>
                <w:szCs w:val="24"/>
              </w:rPr>
            </w:pPr>
            <w:r>
              <w:rPr>
                <w:rFonts w:ascii="Arial" w:hAnsi="Arial" w:cs="Arial"/>
                <w:b/>
                <w:sz w:val="24"/>
                <w:szCs w:val="24"/>
              </w:rPr>
              <w:t>20</w:t>
            </w:r>
            <w:r w:rsidR="006B48AE" w:rsidRPr="00DF21EC">
              <w:rPr>
                <w:rFonts w:ascii="Arial" w:hAnsi="Arial" w:cs="Arial"/>
                <w:b/>
                <w:sz w:val="24"/>
                <w:szCs w:val="24"/>
              </w:rPr>
              <w:t>.</w:t>
            </w:r>
            <w:r w:rsidR="0047264D" w:rsidRPr="00DF21EC">
              <w:rPr>
                <w:rFonts w:ascii="Arial" w:hAnsi="Arial" w:cs="Arial"/>
                <w:b/>
                <w:sz w:val="24"/>
                <w:szCs w:val="24"/>
              </w:rPr>
              <w:t xml:space="preserve"> </w:t>
            </w:r>
            <w:r>
              <w:rPr>
                <w:rFonts w:ascii="Arial" w:hAnsi="Arial" w:cs="Arial"/>
                <w:b/>
                <w:sz w:val="24"/>
                <w:szCs w:val="24"/>
              </w:rPr>
              <w:t>srpnja</w:t>
            </w:r>
            <w:r w:rsidR="00924480" w:rsidRPr="00DF21EC">
              <w:rPr>
                <w:rFonts w:ascii="Arial" w:hAnsi="Arial" w:cs="Arial"/>
                <w:b/>
                <w:sz w:val="24"/>
                <w:szCs w:val="24"/>
              </w:rPr>
              <w:t xml:space="preserve"> 202</w:t>
            </w:r>
            <w:r w:rsidR="0047264D" w:rsidRPr="00DF21EC">
              <w:rPr>
                <w:rFonts w:ascii="Arial" w:hAnsi="Arial" w:cs="Arial"/>
                <w:b/>
                <w:sz w:val="24"/>
                <w:szCs w:val="24"/>
              </w:rPr>
              <w:t>6</w:t>
            </w:r>
            <w:r w:rsidR="00924480" w:rsidRPr="00DF21EC">
              <w:rPr>
                <w:rFonts w:ascii="Arial" w:hAnsi="Arial" w:cs="Arial"/>
                <w:b/>
                <w:sz w:val="24"/>
                <w:szCs w:val="24"/>
              </w:rPr>
              <w:t xml:space="preserve">. </w:t>
            </w:r>
          </w:p>
        </w:tc>
        <w:tc>
          <w:tcPr>
            <w:tcW w:w="4993" w:type="dxa"/>
            <w:vAlign w:val="center"/>
          </w:tcPr>
          <w:p w14:paraId="7F7075B8" w14:textId="77777777" w:rsidR="008D160C" w:rsidRPr="00DF21EC" w:rsidRDefault="008D160C" w:rsidP="008D160C">
            <w:pPr>
              <w:jc w:val="center"/>
              <w:rPr>
                <w:rFonts w:ascii="Arial" w:hAnsi="Arial" w:cs="Arial"/>
                <w:b/>
                <w:sz w:val="24"/>
                <w:szCs w:val="24"/>
                <w:u w:val="single"/>
              </w:rPr>
            </w:pPr>
            <w:r w:rsidRPr="00DF21EC">
              <w:rPr>
                <w:rFonts w:ascii="Arial" w:hAnsi="Arial" w:cs="Arial"/>
                <w:b/>
                <w:sz w:val="24"/>
                <w:szCs w:val="24"/>
                <w:u w:val="single"/>
              </w:rPr>
              <w:t>Završetak savjetovanja</w:t>
            </w:r>
          </w:p>
          <w:p w14:paraId="18610C68" w14:textId="78F7D34D" w:rsidR="008D160C" w:rsidRPr="00DF21EC" w:rsidRDefault="007D1A53" w:rsidP="00DA0870">
            <w:pPr>
              <w:jc w:val="center"/>
              <w:rPr>
                <w:rFonts w:ascii="Arial" w:hAnsi="Arial" w:cs="Arial"/>
                <w:b/>
                <w:sz w:val="24"/>
                <w:szCs w:val="24"/>
              </w:rPr>
            </w:pPr>
            <w:r>
              <w:rPr>
                <w:rFonts w:ascii="Arial" w:hAnsi="Arial" w:cs="Arial"/>
                <w:b/>
                <w:sz w:val="24"/>
                <w:szCs w:val="24"/>
              </w:rPr>
              <w:t>20</w:t>
            </w:r>
            <w:r w:rsidR="003F5E6C">
              <w:rPr>
                <w:rFonts w:ascii="Arial" w:hAnsi="Arial" w:cs="Arial"/>
                <w:b/>
                <w:sz w:val="24"/>
                <w:szCs w:val="24"/>
              </w:rPr>
              <w:t xml:space="preserve">. </w:t>
            </w:r>
            <w:r>
              <w:rPr>
                <w:rFonts w:ascii="Arial" w:hAnsi="Arial" w:cs="Arial"/>
                <w:b/>
                <w:sz w:val="24"/>
                <w:szCs w:val="24"/>
              </w:rPr>
              <w:t>kolovoza</w:t>
            </w:r>
            <w:r w:rsidR="00924480" w:rsidRPr="00DF21EC">
              <w:rPr>
                <w:rFonts w:ascii="Arial" w:hAnsi="Arial" w:cs="Arial"/>
                <w:b/>
                <w:sz w:val="24"/>
                <w:szCs w:val="24"/>
              </w:rPr>
              <w:t xml:space="preserve"> 202</w:t>
            </w:r>
            <w:r w:rsidR="0047264D" w:rsidRPr="00DF21EC">
              <w:rPr>
                <w:rFonts w:ascii="Arial" w:hAnsi="Arial" w:cs="Arial"/>
                <w:b/>
                <w:sz w:val="24"/>
                <w:szCs w:val="24"/>
              </w:rPr>
              <w:t>6</w:t>
            </w:r>
            <w:r w:rsidR="00924480" w:rsidRPr="00DF21EC">
              <w:rPr>
                <w:rFonts w:ascii="Arial" w:hAnsi="Arial" w:cs="Arial"/>
                <w:b/>
                <w:sz w:val="24"/>
                <w:szCs w:val="24"/>
              </w:rPr>
              <w:t xml:space="preserve">. </w:t>
            </w:r>
          </w:p>
        </w:tc>
      </w:tr>
      <w:tr w:rsidR="008D160C" w:rsidRPr="00DF21EC" w14:paraId="5B7E750B" w14:textId="77777777" w:rsidTr="00E97189">
        <w:trPr>
          <w:trHeight w:val="493"/>
        </w:trPr>
        <w:tc>
          <w:tcPr>
            <w:tcW w:w="10207" w:type="dxa"/>
            <w:gridSpan w:val="2"/>
            <w:vAlign w:val="center"/>
          </w:tcPr>
          <w:p w14:paraId="66C2D551" w14:textId="77777777" w:rsidR="008D160C" w:rsidRPr="00DF21EC" w:rsidRDefault="001D0AB1" w:rsidP="008D160C">
            <w:pPr>
              <w:jc w:val="center"/>
              <w:rPr>
                <w:rFonts w:ascii="Arial" w:hAnsi="Arial" w:cs="Arial"/>
                <w:b/>
                <w:sz w:val="24"/>
                <w:szCs w:val="24"/>
              </w:rPr>
            </w:pPr>
            <w:r w:rsidRPr="00DF21EC">
              <w:rPr>
                <w:rFonts w:ascii="Arial" w:hAnsi="Arial" w:cs="Arial"/>
                <w:b/>
                <w:sz w:val="24"/>
                <w:szCs w:val="24"/>
              </w:rPr>
              <w:t>RAZLOG DONOŠENJA</w:t>
            </w:r>
          </w:p>
        </w:tc>
      </w:tr>
      <w:tr w:rsidR="008D160C" w:rsidRPr="00A240CF" w14:paraId="25F57092" w14:textId="77777777" w:rsidTr="003324B1">
        <w:trPr>
          <w:trHeight w:val="699"/>
        </w:trPr>
        <w:tc>
          <w:tcPr>
            <w:tcW w:w="10207" w:type="dxa"/>
            <w:gridSpan w:val="2"/>
          </w:tcPr>
          <w:p w14:paraId="15B1DAE5"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Članak 95. Zakona o komunalnom gospodarstvu ("Narodne novine", broj 68/18, 110/18, 32/20 i 145/24) kojim je propisano:</w:t>
            </w:r>
          </w:p>
          <w:p w14:paraId="632730A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''(1) Predstavničko tijelo jedinice lokalne samouprave donosi odluku o komunalnoj naknadi kojom se određuju:</w:t>
            </w:r>
          </w:p>
          <w:p w14:paraId="71831A23"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1. područja zona u jedinici lokalne samouprave u kojima se naplaćuje komunalna naknada</w:t>
            </w:r>
          </w:p>
          <w:p w14:paraId="4D8EA0E2"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2. koeficijent zone (</w:t>
            </w:r>
            <w:proofErr w:type="spellStart"/>
            <w:r w:rsidRPr="00A240CF">
              <w:rPr>
                <w:rFonts w:ascii="Arial" w:hAnsi="Arial" w:cs="Arial"/>
                <w:color w:val="000000"/>
                <w:sz w:val="24"/>
                <w:szCs w:val="24"/>
              </w:rPr>
              <w:t>Kz</w:t>
            </w:r>
            <w:proofErr w:type="spellEnd"/>
            <w:r w:rsidRPr="00A240CF">
              <w:rPr>
                <w:rFonts w:ascii="Arial" w:hAnsi="Arial" w:cs="Arial"/>
                <w:color w:val="000000"/>
                <w:sz w:val="24"/>
                <w:szCs w:val="24"/>
              </w:rPr>
              <w:t>) za pojedine zone u jedinici lokalne samouprave u kojima se naplaćuje komunalna naknada</w:t>
            </w:r>
          </w:p>
          <w:p w14:paraId="73BED4CA"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3. koeficijent namjene (Kn) za nekretnine za koje se plaća komunalna naknada</w:t>
            </w:r>
          </w:p>
          <w:p w14:paraId="7AF64FA7"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4. rok plaćanja komunalne naknade</w:t>
            </w:r>
          </w:p>
          <w:p w14:paraId="565AA6B0"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5. nekretnine važne za jedinicu lokalne samouprave koje se u potpunosti ili djelomično oslobađaju od plaćanja komunalne naknade</w:t>
            </w:r>
          </w:p>
          <w:p w14:paraId="6EB992DD"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6. opći uvjeti i razlozi zbog kojih se u pojedinačnim slučajevima odobrava djelomično ili potpuno oslobađanje od plaćanja komunalne naknade.</w:t>
            </w:r>
          </w:p>
          <w:p w14:paraId="60441BD3"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(2) Odluka o komunalnoj naknadi objavljuje se u službenom glasilu jedinice lokalne samouprave.''</w:t>
            </w:r>
          </w:p>
          <w:p w14:paraId="2FEC4B17" w14:textId="77777777" w:rsidR="00A240CF" w:rsidRPr="00A240CF" w:rsidRDefault="00A240CF" w:rsidP="00A240CF">
            <w:pPr>
              <w:shd w:val="clear" w:color="auto" w:fill="FDFCFB"/>
              <w:jc w:val="both"/>
              <w:rPr>
                <w:rFonts w:ascii="Arial" w:hAnsi="Arial" w:cs="Arial"/>
                <w:color w:val="000000"/>
                <w:sz w:val="24"/>
                <w:szCs w:val="24"/>
              </w:rPr>
            </w:pPr>
          </w:p>
          <w:p w14:paraId="50CE1ACB"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Aktom se određuje sve što je navedeno u članku 95. stavku 1. Zakona o komunalnom gospodarstvu. </w:t>
            </w:r>
          </w:p>
          <w:p w14:paraId="1C2F20F7" w14:textId="77777777" w:rsidR="00A240CF" w:rsidRPr="00A240CF" w:rsidRDefault="00A240CF" w:rsidP="00A240CF">
            <w:pPr>
              <w:pStyle w:val="isselectedend"/>
              <w:jc w:val="both"/>
              <w:rPr>
                <w:rFonts w:ascii="Arial" w:hAnsi="Arial" w:cs="Arial"/>
              </w:rPr>
            </w:pPr>
            <w:r w:rsidRPr="00A240CF">
              <w:rPr>
                <w:rFonts w:ascii="Arial" w:hAnsi="Arial" w:cs="Arial"/>
              </w:rPr>
              <w:t>Nakon stupanja na snagu nove Odluke o određivanju vrijednosti boda komunalne naknade (B), s primjenom od 1. siječnja 2027. godine, Upravni odjel za komunalno gospodarstvo, izgradnju grada i upravljanje nekretninama donijet će nova rješenja o komunalnoj naknadi za sve obveznike plaćanja komunalne naknade.</w:t>
            </w:r>
          </w:p>
          <w:p w14:paraId="57106405" w14:textId="77777777" w:rsidR="00A240CF" w:rsidRPr="00A240CF" w:rsidRDefault="00A240CF" w:rsidP="00A240CF">
            <w:pPr>
              <w:pStyle w:val="isselectedend"/>
              <w:jc w:val="both"/>
              <w:rPr>
                <w:rFonts w:ascii="Arial" w:hAnsi="Arial" w:cs="Arial"/>
              </w:rPr>
            </w:pPr>
            <w:r w:rsidRPr="00A240CF">
              <w:rPr>
                <w:rFonts w:ascii="Arial" w:hAnsi="Arial" w:cs="Arial"/>
              </w:rPr>
              <w:t xml:space="preserve">Budući da se nova rješenja donose za sve obveznike komunalne naknade te je potrebno uskladiti odredbe Odluke sa Zakonom o komunalnom gospodarstvu i utvrditi raspodjelu nekretnina prema koeficijentima namjene, predlaže se donošenje nove Odluke o komunalnoj naknadi. </w:t>
            </w:r>
          </w:p>
          <w:p w14:paraId="2AD9E7D0" w14:textId="77777777" w:rsidR="00A240CF" w:rsidRPr="00A240CF" w:rsidRDefault="00A240CF" w:rsidP="00A240CF">
            <w:pPr>
              <w:pStyle w:val="isselectedend"/>
              <w:jc w:val="both"/>
              <w:rPr>
                <w:rFonts w:ascii="Arial" w:hAnsi="Arial" w:cs="Arial"/>
              </w:rPr>
            </w:pPr>
            <w:r w:rsidRPr="00A240CF">
              <w:rPr>
                <w:rFonts w:ascii="Arial" w:hAnsi="Arial" w:cs="Arial"/>
              </w:rPr>
              <w:t>U evidenciji obveznika komunalne naknade trenutno se nalazi 11.032 stambena objekta i 1.359 poslovnih prostora.</w:t>
            </w:r>
          </w:p>
          <w:p w14:paraId="049EE1CB" w14:textId="77777777" w:rsidR="00A240CF" w:rsidRPr="00A240CF" w:rsidRDefault="00A240CF" w:rsidP="00A240CF">
            <w:pPr>
              <w:pStyle w:val="isselectedend"/>
              <w:jc w:val="both"/>
              <w:rPr>
                <w:rFonts w:ascii="Arial" w:hAnsi="Arial" w:cs="Arial"/>
              </w:rPr>
            </w:pPr>
            <w:r w:rsidRPr="00A240CF">
              <w:rPr>
                <w:rFonts w:ascii="Arial" w:hAnsi="Arial" w:cs="Arial"/>
              </w:rPr>
              <w:t>Rješenja o komunalnoj naknadi, uz odredbe Zakona o komunalnom gospodarstvu, sadrže i odredbe Odluke o komunalnoj naknadi te Odluke o određivanju vrijednosti boda komunalne naknade (B).</w:t>
            </w:r>
          </w:p>
          <w:p w14:paraId="5E48EA4F" w14:textId="77777777" w:rsidR="00A240CF" w:rsidRPr="00A240CF" w:rsidRDefault="00A240CF" w:rsidP="00A240CF">
            <w:pPr>
              <w:pStyle w:val="StandardWeb"/>
              <w:jc w:val="both"/>
              <w:rPr>
                <w:rFonts w:ascii="Arial" w:hAnsi="Arial" w:cs="Arial"/>
              </w:rPr>
            </w:pPr>
            <w:r w:rsidRPr="00A240CF">
              <w:rPr>
                <w:rFonts w:ascii="Arial" w:hAnsi="Arial" w:cs="Arial"/>
              </w:rPr>
              <w:t>S obzirom na to da se mijenjaju odredbe većeg broja članaka važeće Odluke o komunalnoj naknadi te da su od njezina donošenja već donesene četiri izmjene i dopune, izrađen je nacrt nove Odluke o komunalnoj naknadi, a ne nacrt izmjena i dopuna važeće Odluke. Važeća Odluka o komunalnoj naknadi donesena je 2018. godine, a nakon toga donesene su njezine izmjene i dopune objavljene u službenom glasilu broj 4/18, 5/18, 3/22, 4/22 (pročišćeni tekst) i 8/22.</w:t>
            </w:r>
          </w:p>
          <w:p w14:paraId="2E51B011" w14:textId="77777777" w:rsidR="00A240CF" w:rsidRPr="00A240CF" w:rsidRDefault="00A240CF" w:rsidP="00A240CF">
            <w:pPr>
              <w:pStyle w:val="isselectedend"/>
              <w:jc w:val="both"/>
              <w:rPr>
                <w:rFonts w:ascii="Arial" w:hAnsi="Arial" w:cs="Arial"/>
              </w:rPr>
            </w:pPr>
            <w:r w:rsidRPr="00A240CF">
              <w:rPr>
                <w:rFonts w:ascii="Arial" w:hAnsi="Arial" w:cs="Arial"/>
              </w:rPr>
              <w:lastRenderedPageBreak/>
              <w:t>Nacrtom Odluke o komunalnoj naknadi, u odnosu na važeću Odluku o komunalnoj naknadi, nisu mijenjana područja zona niti pripadnost nekretnina pojedinoj zoni grada, kao ni koeficijenti zona.</w:t>
            </w:r>
          </w:p>
          <w:p w14:paraId="0EDC4E13" w14:textId="77777777" w:rsidR="00A240CF" w:rsidRPr="00A240CF" w:rsidRDefault="00A240CF" w:rsidP="00A240CF">
            <w:pPr>
              <w:pStyle w:val="isselectedend"/>
              <w:jc w:val="both"/>
              <w:rPr>
                <w:rFonts w:ascii="Arial" w:hAnsi="Arial" w:cs="Arial"/>
              </w:rPr>
            </w:pPr>
            <w:r w:rsidRPr="00A240CF">
              <w:rPr>
                <w:rFonts w:ascii="Arial" w:hAnsi="Arial" w:cs="Arial"/>
              </w:rPr>
              <w:t>Važećom Odlukom, kao i ovim Nacrtom Odluke, za nekretnine koje se nalaze u I. zoni, uzimajući u obzir stupanj opremljenosti komunalnom infrastrukturom i uređenost područja, utvrđen je koeficijent zone (</w:t>
            </w:r>
            <w:proofErr w:type="spellStart"/>
            <w:r w:rsidRPr="00A240CF">
              <w:rPr>
                <w:rFonts w:ascii="Arial" w:hAnsi="Arial" w:cs="Arial"/>
              </w:rPr>
              <w:t>Kz</w:t>
            </w:r>
            <w:proofErr w:type="spellEnd"/>
            <w:r w:rsidRPr="00A240CF">
              <w:rPr>
                <w:rFonts w:ascii="Arial" w:hAnsi="Arial" w:cs="Arial"/>
              </w:rPr>
              <w:t>) u visini 1,00. Navedeno je u skladu s člankom 96. stavkom 3. Zakona o komunalnom gospodarstvu, kojim je propisano da je koeficijent zone (</w:t>
            </w:r>
            <w:proofErr w:type="spellStart"/>
            <w:r w:rsidRPr="00A240CF">
              <w:rPr>
                <w:rFonts w:ascii="Arial" w:hAnsi="Arial" w:cs="Arial"/>
              </w:rPr>
              <w:t>Kz</w:t>
            </w:r>
            <w:proofErr w:type="spellEnd"/>
            <w:r w:rsidRPr="00A240CF">
              <w:rPr>
                <w:rFonts w:ascii="Arial" w:hAnsi="Arial" w:cs="Arial"/>
              </w:rPr>
              <w:t>) najviši za prvu zonu i iznosi 1,00.</w:t>
            </w:r>
          </w:p>
          <w:p w14:paraId="34ABF6D6" w14:textId="77777777" w:rsidR="00A240CF" w:rsidRPr="00A240CF" w:rsidRDefault="00A240CF" w:rsidP="00A240CF">
            <w:pPr>
              <w:pStyle w:val="StandardWeb"/>
              <w:jc w:val="both"/>
              <w:rPr>
                <w:rFonts w:ascii="Arial" w:hAnsi="Arial" w:cs="Arial"/>
              </w:rPr>
            </w:pPr>
            <w:r w:rsidRPr="00A240CF">
              <w:rPr>
                <w:rFonts w:ascii="Arial" w:hAnsi="Arial" w:cs="Arial"/>
              </w:rPr>
              <w:t>Koeficijenti zone za II. i III. zonu ostaju nepromijenjeni u odnosu na važeću Odluku o komunalnoj naknadi.</w:t>
            </w:r>
          </w:p>
          <w:p w14:paraId="0EB9FE23"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Koeficijenti namjene u okviru su raspona i sukladni su odredbi članka 97. Zakona o komunalnom gospodarstvu kojom je propisano: </w:t>
            </w:r>
          </w:p>
          <w:p w14:paraId="105747C7" w14:textId="77777777" w:rsidR="00A240CF" w:rsidRPr="00A240CF" w:rsidRDefault="00A240CF" w:rsidP="00A240CF">
            <w:pPr>
              <w:shd w:val="clear" w:color="auto" w:fill="FDFCFB"/>
              <w:jc w:val="both"/>
              <w:rPr>
                <w:rFonts w:ascii="Arial" w:hAnsi="Arial" w:cs="Arial"/>
                <w:color w:val="000000"/>
                <w:sz w:val="24"/>
                <w:szCs w:val="24"/>
              </w:rPr>
            </w:pPr>
          </w:p>
          <w:p w14:paraId="7F696692"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''(1) Koeficijent namjene (Kn) ovisno o vrsti nekretnine i djelatnosti koja se obavlja iznosi za:</w:t>
            </w:r>
          </w:p>
          <w:p w14:paraId="0990E19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1. stambeni prostor 1,00</w:t>
            </w:r>
          </w:p>
          <w:p w14:paraId="162BC6CF"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2. stambeni i poslovni prostor koji koriste neprofitne udruge građana 1,00</w:t>
            </w:r>
          </w:p>
          <w:p w14:paraId="2876C253"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3. garažni prostor 1,00</w:t>
            </w:r>
          </w:p>
          <w:p w14:paraId="6F09BCC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4. poslovni prostor koji služi za proizvodne djelatnosti ne može biti manji od 1,00 ni veći od 5,00</w:t>
            </w:r>
          </w:p>
          <w:p w14:paraId="639CC55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5. poslovni prostor koji služi za djelatnosti koje nisu proizvodne ne može biti manji od 1,00 ni veći od 10,00</w:t>
            </w:r>
          </w:p>
          <w:p w14:paraId="104C3FF4"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6. građevinsko zemljište koje služi obavljanju poslovne djelatnosti može biti najviše 10% koeficijenta namjene koji je određen za poslovni prostor</w:t>
            </w:r>
          </w:p>
          <w:p w14:paraId="583E2BD6" w14:textId="77777777" w:rsid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7. neizgrađeno građevinsko zemljište 0,05.</w:t>
            </w:r>
          </w:p>
          <w:p w14:paraId="18A6B196" w14:textId="77777777" w:rsidR="00A240CF" w:rsidRPr="00A240CF" w:rsidRDefault="00A240CF" w:rsidP="00A240CF">
            <w:pPr>
              <w:shd w:val="clear" w:color="auto" w:fill="FDFCFB"/>
              <w:jc w:val="both"/>
              <w:rPr>
                <w:rFonts w:ascii="Arial" w:hAnsi="Arial" w:cs="Arial"/>
                <w:color w:val="000000"/>
                <w:sz w:val="24"/>
                <w:szCs w:val="24"/>
              </w:rPr>
            </w:pPr>
          </w:p>
          <w:p w14:paraId="6424936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(2) Za poslovni prostor i građevinsko zemljište koje služi obavljanju poslovne djelatnosti, kad se poslovna djelatnost ne obavlja više od šest mjeseci u kalendarskoj godini, koeficijent namjene umanjuje se za 50%, ali ne može biti manji od koeficijenta namjene za stambeni prostor odnosno za neizgrađeno građevinsko zemljište.</w:t>
            </w:r>
          </w:p>
          <w:p w14:paraId="6A38788A"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(3) Za hotele, apartmanska naselja i kampove visina godišnje komunalne naknade ne može biti veća od 1,5% ukupnoga godišnjeg prihoda iz prethodne godine, ostvarenog u hotelima, apartmanskim naseljima i kampovima koji se nalaze na području dotične jedinice lokalne samouprave''</w:t>
            </w:r>
          </w:p>
          <w:p w14:paraId="11245071" w14:textId="77777777" w:rsidR="00A240CF" w:rsidRPr="00A240CF" w:rsidRDefault="00A240CF" w:rsidP="00A240CF">
            <w:pPr>
              <w:pStyle w:val="isselectedend"/>
              <w:jc w:val="both"/>
              <w:rPr>
                <w:rFonts w:ascii="Arial" w:hAnsi="Arial" w:cs="Arial"/>
              </w:rPr>
            </w:pPr>
            <w:r w:rsidRPr="00A240CF">
              <w:rPr>
                <w:rFonts w:ascii="Arial" w:hAnsi="Arial" w:cs="Arial"/>
              </w:rPr>
              <w:t>Koeficijent namjene (Kn) određen je sukladno zakonskim kriterijima, ovisno o vrsti nekretnine i namjeni prostora. Radi postizanja veće jasnoće u primjeni Odluke, pojedine djelatnosti dodatno su precizirane upućivanjem na odgovarajuće razrede i podrazrede Nacionalne klasifikacije djelatnosti (NKD), čime se smanjuje mogućnost različitog tumačenja prilikom utvrđivanja obveze komunalne naknade. Oznake Nacionalne klasifikacije djelatnosti (NKD 2025) služe kao pomoćni kriterij za razvrstavanje poslovnih prostora prema odgovarajućim skupinama koeficijenata namjene, radi osiguravanja jedinstvene i dosljedne primjene ove Odluke.</w:t>
            </w:r>
          </w:p>
          <w:p w14:paraId="392EAAE2" w14:textId="77777777" w:rsidR="00A240CF" w:rsidRPr="00A240CF" w:rsidRDefault="00A240CF" w:rsidP="00A240CF">
            <w:pPr>
              <w:pStyle w:val="isselectedend"/>
              <w:jc w:val="both"/>
              <w:rPr>
                <w:rFonts w:ascii="Arial" w:hAnsi="Arial" w:cs="Arial"/>
              </w:rPr>
            </w:pPr>
            <w:r w:rsidRPr="00A240CF">
              <w:rPr>
                <w:rFonts w:ascii="Arial" w:hAnsi="Arial" w:cs="Arial"/>
              </w:rPr>
              <w:t>Za stambeni prostor, stambeni i poslovni prostor koji koriste neprofitne udruge građana te garažni prostor i pomoćne prostorije utvrđen je koeficijent namjene 1,00.</w:t>
            </w:r>
          </w:p>
          <w:p w14:paraId="4E5E83E8" w14:textId="77777777" w:rsidR="00A240CF" w:rsidRPr="00A240CF" w:rsidRDefault="00A240CF" w:rsidP="00A240CF">
            <w:pPr>
              <w:pStyle w:val="isselectedend"/>
              <w:jc w:val="both"/>
              <w:rPr>
                <w:rFonts w:ascii="Arial" w:hAnsi="Arial" w:cs="Arial"/>
              </w:rPr>
            </w:pPr>
            <w:r w:rsidRPr="00A240CF">
              <w:rPr>
                <w:rFonts w:ascii="Arial" w:hAnsi="Arial" w:cs="Arial"/>
              </w:rPr>
              <w:t>Za poslovne prostore koji služe za proizvodne djelatnosti određen je koeficijent namjene 2,20. Za djelatnosti proizvodnje obuće, kože i tekstila te proizvodnje bicikala i invalidskih kolica određen je povoljniji koeficijent namjene 1,90 radi poticanja proizvodnih djelatnosti koje imaju značajan utjecaj na zapošljavanje i gospodarski razvoj.</w:t>
            </w:r>
          </w:p>
          <w:p w14:paraId="1AF73306" w14:textId="77777777" w:rsidR="00A240CF" w:rsidRPr="00A240CF" w:rsidRDefault="00A240CF" w:rsidP="00A240CF">
            <w:pPr>
              <w:pStyle w:val="isselectedend"/>
              <w:jc w:val="both"/>
              <w:rPr>
                <w:rFonts w:ascii="Arial" w:hAnsi="Arial" w:cs="Arial"/>
              </w:rPr>
            </w:pPr>
            <w:r w:rsidRPr="00A240CF">
              <w:rPr>
                <w:rFonts w:ascii="Arial" w:hAnsi="Arial" w:cs="Arial"/>
              </w:rPr>
              <w:lastRenderedPageBreak/>
              <w:t>Za sportske dvorane te ustanove predškolskog, školskog i visokog obrazovanja koje nisu u vlasništvu Grada, Županije ili Republike Hrvatske određen je koeficijent namjene 1,90, uvažavajući njihov društveni značaj i doprinos razvoju sporta i lokalne zajednice.</w:t>
            </w:r>
          </w:p>
          <w:p w14:paraId="186D3B8F" w14:textId="77777777" w:rsidR="00A240CF" w:rsidRPr="00A240CF" w:rsidRDefault="00A240CF" w:rsidP="00A240CF">
            <w:pPr>
              <w:pStyle w:val="isselectedend"/>
              <w:jc w:val="both"/>
              <w:rPr>
                <w:rFonts w:ascii="Arial" w:hAnsi="Arial" w:cs="Arial"/>
              </w:rPr>
            </w:pPr>
            <w:r w:rsidRPr="00A240CF">
              <w:rPr>
                <w:rFonts w:ascii="Arial" w:hAnsi="Arial" w:cs="Arial"/>
              </w:rPr>
              <w:t>Za farme, skladišta i silose uz farme namijenjene stočarstvu i ratarstvu te skladišta poljoprivrednih proizvoda određen je koeficijent namjene 1,90. Navedeni koeficijent utvrđen je radi potpore poljoprivrednoj proizvodnji, uzimajući u obzir njihov značaj za razvoj ruralnog prostora i lokalnog gospodarstva.</w:t>
            </w:r>
          </w:p>
          <w:p w14:paraId="31929047" w14:textId="77777777" w:rsidR="00A240CF" w:rsidRPr="00A240CF" w:rsidRDefault="00A240CF" w:rsidP="00A240CF">
            <w:pPr>
              <w:pStyle w:val="isselectedend"/>
              <w:jc w:val="both"/>
              <w:rPr>
                <w:rFonts w:ascii="Arial" w:hAnsi="Arial" w:cs="Arial"/>
              </w:rPr>
            </w:pPr>
            <w:r w:rsidRPr="00A240CF">
              <w:rPr>
                <w:rFonts w:ascii="Arial" w:hAnsi="Arial" w:cs="Arial"/>
              </w:rPr>
              <w:t>Za poslovne prostore koji se nalaze unutar zaštićene kulturno-povijesne cjeline određen je koeficijent namjene 2,20, uzimajući u obzir posebnosti prostora koji se nalazi unutar područja zaštićene kulturne baštine.</w:t>
            </w:r>
          </w:p>
          <w:p w14:paraId="5EB5B787" w14:textId="77777777" w:rsidR="00A240CF" w:rsidRPr="00A240CF" w:rsidRDefault="00A240CF" w:rsidP="00A240CF">
            <w:pPr>
              <w:pStyle w:val="isselectedend"/>
              <w:jc w:val="both"/>
              <w:rPr>
                <w:rFonts w:ascii="Arial" w:hAnsi="Arial" w:cs="Arial"/>
              </w:rPr>
            </w:pPr>
            <w:r w:rsidRPr="00A240CF">
              <w:rPr>
                <w:rFonts w:ascii="Arial" w:hAnsi="Arial" w:cs="Arial"/>
              </w:rPr>
              <w:t>Za poslovne prostore u kojima se obavljaju financijske djelatnosti, djelatnosti osiguranja te djelatnosti kockanja, klađenja i lutrija određen je koeficijent namjene 5,20, vodeći računa o namjeni poslovnog prostora i razvrstavanju djelatnosti u zasebnu kategoriju za potrebe obračuna komunalne naknade.</w:t>
            </w:r>
          </w:p>
          <w:p w14:paraId="7C4E97AC" w14:textId="77777777" w:rsidR="00A240CF" w:rsidRPr="00A240CF" w:rsidRDefault="00A240CF" w:rsidP="00A240CF">
            <w:pPr>
              <w:pStyle w:val="isselectedend"/>
              <w:jc w:val="both"/>
              <w:rPr>
                <w:rFonts w:ascii="Arial" w:hAnsi="Arial" w:cs="Arial"/>
              </w:rPr>
            </w:pPr>
            <w:r w:rsidRPr="00A240CF">
              <w:rPr>
                <w:rFonts w:ascii="Arial" w:hAnsi="Arial" w:cs="Arial"/>
              </w:rPr>
              <w:t>Za ostale poslovne prostore koji služe za obavljanje djelatnosti koje nisu proizvodne, a nisu posebno razvrstane u prethodne skupine, određen je koeficijent namjene 4,40.</w:t>
            </w:r>
          </w:p>
          <w:p w14:paraId="6E1D9552" w14:textId="77777777" w:rsidR="00A240CF" w:rsidRPr="00A240CF" w:rsidRDefault="00A240CF" w:rsidP="00A240CF">
            <w:pPr>
              <w:pStyle w:val="isselectedend"/>
              <w:jc w:val="both"/>
              <w:rPr>
                <w:rFonts w:ascii="Arial" w:hAnsi="Arial" w:cs="Arial"/>
              </w:rPr>
            </w:pPr>
            <w:r w:rsidRPr="00A240CF">
              <w:rPr>
                <w:rFonts w:ascii="Arial" w:hAnsi="Arial" w:cs="Arial"/>
              </w:rPr>
              <w:t>Za građevinsko zemljište koje služi obavljanju poslovne djelatnosti koeficijent namjene određen je u visini od 10 % koeficijenta namjene koji je utvrđen za poslovni prostor namijenjen obavljanju iste djelatnosti, sukladno Zakonu o komunalnom gospodarstvu.</w:t>
            </w:r>
          </w:p>
          <w:p w14:paraId="7FF66418" w14:textId="77777777" w:rsidR="00A240CF" w:rsidRPr="00A240CF" w:rsidRDefault="00A240CF" w:rsidP="00A240CF">
            <w:pPr>
              <w:pStyle w:val="StandardWeb"/>
              <w:jc w:val="both"/>
              <w:rPr>
                <w:rFonts w:ascii="Arial" w:hAnsi="Arial" w:cs="Arial"/>
              </w:rPr>
            </w:pPr>
            <w:r w:rsidRPr="00A240CF">
              <w:rPr>
                <w:rFonts w:ascii="Arial" w:hAnsi="Arial" w:cs="Arial"/>
              </w:rPr>
              <w:t>Za neizgrađeno građevinsko zemljište određen je koeficijent namjene 0,05.</w:t>
            </w:r>
          </w:p>
          <w:p w14:paraId="2A6AEFEB" w14:textId="77777777" w:rsidR="00A240CF" w:rsidRPr="00A240CF" w:rsidRDefault="00A240CF" w:rsidP="00A240CF">
            <w:pPr>
              <w:pStyle w:val="isselectedend"/>
              <w:jc w:val="both"/>
              <w:rPr>
                <w:rFonts w:ascii="Arial" w:hAnsi="Arial" w:cs="Arial"/>
              </w:rPr>
            </w:pPr>
            <w:r w:rsidRPr="00A240CF">
              <w:rPr>
                <w:rFonts w:ascii="Arial" w:hAnsi="Arial" w:cs="Arial"/>
              </w:rPr>
              <w:t>Nacrtom Odluke dodatno se uređuju uvjeti za ostvarivanje prava na oslobođenje od plaćanja komunalne naknade za staračka domaćinstva.</w:t>
            </w:r>
          </w:p>
          <w:p w14:paraId="6382E64E" w14:textId="77777777" w:rsidR="00A240CF" w:rsidRPr="00A240CF" w:rsidRDefault="00A240CF" w:rsidP="00A240CF">
            <w:pPr>
              <w:pStyle w:val="isselectedend"/>
              <w:jc w:val="both"/>
              <w:rPr>
                <w:rFonts w:ascii="Arial" w:hAnsi="Arial" w:cs="Arial"/>
              </w:rPr>
            </w:pPr>
            <w:r w:rsidRPr="00A240CF">
              <w:rPr>
                <w:rFonts w:ascii="Arial" w:hAnsi="Arial" w:cs="Arial"/>
              </w:rPr>
              <w:t>Važećom Odlukom pravo na oslobođenje ostvarivali su obveznici koji imaju u cijelosti u vlasništvu stan ili stambenu građevinu u kojoj imaju prijavljeno prebivalište, pod uvjetom da se radi o staračkom domaćinstvu, odnosno o domaćinstvu u kojem živi bračni par ili samac stariji od 65 godina. Pravo je bilo priznato i staračkim domaćinstvima u kojima živi osoba mlađa od 65 godina s utvrđenim invaliditetom od 80 % i više.</w:t>
            </w:r>
          </w:p>
          <w:p w14:paraId="2FCA39AB" w14:textId="77777777" w:rsidR="00A240CF" w:rsidRPr="00A240CF" w:rsidRDefault="00A240CF" w:rsidP="00A240CF">
            <w:pPr>
              <w:pStyle w:val="isselectedend"/>
              <w:jc w:val="both"/>
              <w:rPr>
                <w:rFonts w:ascii="Arial" w:hAnsi="Arial" w:cs="Arial"/>
              </w:rPr>
            </w:pPr>
            <w:r w:rsidRPr="00A240CF">
              <w:rPr>
                <w:rFonts w:ascii="Arial" w:hAnsi="Arial" w:cs="Arial"/>
              </w:rPr>
              <w:t>Nacrtom Odluke zadržava se socijalna svrha ove mjere, ali se jasnije definiraju uvjeti za ostvarivanje prava. Propisuje se da pravo mogu ostvariti osobe koje u predmetnoj nekretnini imaju prijavljeno prebivalište i koje nemaju drugih nekretnina u vlasništvu ili suvlasništvu. Također se uvodi uvjet neprekidnog prebivanja na području Grada Čakovca u trajanju od najmanje pet godina prije podnošenja zahtjeva.</w:t>
            </w:r>
          </w:p>
          <w:p w14:paraId="7C132E35" w14:textId="77777777" w:rsidR="00A240CF" w:rsidRPr="00A240CF" w:rsidRDefault="00A240CF" w:rsidP="00A240CF">
            <w:pPr>
              <w:pStyle w:val="isselectedend"/>
              <w:jc w:val="both"/>
              <w:rPr>
                <w:rFonts w:ascii="Arial" w:hAnsi="Arial" w:cs="Arial"/>
              </w:rPr>
            </w:pPr>
            <w:r w:rsidRPr="00A240CF">
              <w:rPr>
                <w:rFonts w:ascii="Arial" w:hAnsi="Arial" w:cs="Arial"/>
              </w:rPr>
              <w:t>Dodatno se precizira pojam staračkog domaćinstva na način da se njime smatra domaćinstvo u kojem žive isključivo osobe starije od 65 godina te na toj adresi nema drugih prijavljenih osoba. Istodobno se zadržava zaštita posebno osjetljivih skupina građana, pa se staračkim domaćinstvom i nadalje smatra domaćinstvo u kojem uz osobe starije od 65 godina živi osoba mlađa od 65 godina kojoj je utvrđen invaliditet od 80% i više ili koja ostvaruje pravo na inkluzivni dodatak I., II. ili III. razine.</w:t>
            </w:r>
          </w:p>
          <w:p w14:paraId="06E0A656" w14:textId="77777777" w:rsidR="00A240CF" w:rsidRPr="00A240CF" w:rsidRDefault="00A240CF" w:rsidP="00A240CF">
            <w:pPr>
              <w:pStyle w:val="StandardWeb"/>
              <w:jc w:val="both"/>
              <w:rPr>
                <w:rFonts w:ascii="Arial" w:hAnsi="Arial" w:cs="Arial"/>
              </w:rPr>
            </w:pPr>
            <w:r w:rsidRPr="00A240CF">
              <w:rPr>
                <w:rFonts w:ascii="Arial" w:hAnsi="Arial" w:cs="Arial"/>
              </w:rPr>
              <w:t>Predloženim izmjenama pravo na oslobođenje usmjerava se prema građanima kojima je ono namijenjeno kao socijalna mjera, uz jasnije propisane kriterije za ostvarivanje prava i lakšu provedbu upravnog postupka.</w:t>
            </w:r>
          </w:p>
          <w:p w14:paraId="7359E71D" w14:textId="77777777" w:rsidR="00A240CF" w:rsidRPr="00A240CF" w:rsidRDefault="00A240CF" w:rsidP="00A240CF">
            <w:pPr>
              <w:pStyle w:val="StandardWeb"/>
              <w:jc w:val="both"/>
              <w:rPr>
                <w:rFonts w:ascii="Arial" w:hAnsi="Arial" w:cs="Arial"/>
              </w:rPr>
            </w:pPr>
            <w:r w:rsidRPr="00A240CF">
              <w:rPr>
                <w:rFonts w:ascii="Arial" w:hAnsi="Arial" w:cs="Arial"/>
              </w:rPr>
              <w:lastRenderedPageBreak/>
              <w:t>Uvjet neprekidnog prebivanja na području Grada Čakovca u trajanju od najmanje pet godina uveden je radi osiguravanja stvarne i trajne povezanosti korisnika s lokalnom zajednicom. Time se pravo na oslobođenje usmjerava na građane koji dulje vrijeme žive na području Grada, koriste komunalnu infrastrukturu i kroz plaćanje javnih davanja sudjeluju u financiranju komunalnog sustava. Ujedno se sprječava mogućnost ostvarivanja prava na oslobođenje neposredno nakon prijave prebivališta na području Grada, bez prethodne uključenosti u sustav financiranja komunalne infrastrukture.</w:t>
            </w:r>
          </w:p>
          <w:p w14:paraId="5B043460"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Vezano uz komunalnu naknadu općenito, člankom 91. Zakona o komunalnom gospodarstvu je propisano: </w:t>
            </w:r>
          </w:p>
          <w:p w14:paraId="4B5A35FE"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 da je komunalna naknada novčano javno davanje koje se plaća za održavanje komunalne infrastrukture </w:t>
            </w:r>
          </w:p>
          <w:p w14:paraId="5ED6396C"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 da je komunalna naknada prihod proračuna jedinice lokalne samouprave koji se koristi za financiranje održavanja i građenja komunalne infrastrukture (nerazvrstane ceste, javne prometne površine na kojima nije dopušten promet motornih vozila, javna parkirališta, javne garaže, javne zelene površine, građevine i uređaji javne namjene, javna rasvjeta), sve u skladu s Programom održavanja komunalne infrastrukture, te Programom građenja komunalne infrastrukture koje predstavničko tijelo donosi krajem svake godine za iduću kalendarsku godinu. </w:t>
            </w:r>
          </w:p>
          <w:p w14:paraId="5B65D081"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 da se sredstva komunalne naknade na temelju odluke Gradskog vijeća mogu koristiti i za financiranje građenja i održavanja objekata predškolskog, školskog, zdravstvenog i socijalnog sadržaja, javnih građevina sportske i kulturne namjene te poboljšanja energetske učinkovitosti zgrada u vlasništvu jedinice lokalne samouprave, ako se time ne dovodi u pitanje mogućnost održavanja i građenja komunalne infrastrukture.</w:t>
            </w:r>
          </w:p>
          <w:p w14:paraId="6BFCD0C2" w14:textId="77777777" w:rsidR="00A240CF" w:rsidRPr="00A240CF" w:rsidRDefault="00A240CF" w:rsidP="00A240CF">
            <w:pPr>
              <w:shd w:val="clear" w:color="auto" w:fill="FDFCFB"/>
              <w:jc w:val="both"/>
              <w:rPr>
                <w:rFonts w:ascii="Arial" w:hAnsi="Arial" w:cs="Arial"/>
                <w:color w:val="000000"/>
                <w:sz w:val="24"/>
                <w:szCs w:val="24"/>
              </w:rPr>
            </w:pPr>
          </w:p>
          <w:p w14:paraId="5CE191E5" w14:textId="77777777" w:rsidR="00A240CF" w:rsidRPr="00A240CF" w:rsidRDefault="00A240CF" w:rsidP="00A240CF">
            <w:pPr>
              <w:shd w:val="clear" w:color="auto" w:fill="FDFCFB"/>
              <w:jc w:val="both"/>
              <w:rPr>
                <w:rFonts w:ascii="Arial" w:hAnsi="Arial" w:cs="Arial"/>
                <w:sz w:val="24"/>
                <w:szCs w:val="24"/>
              </w:rPr>
            </w:pPr>
            <w:r w:rsidRPr="00A240CF">
              <w:rPr>
                <w:rFonts w:ascii="Arial" w:hAnsi="Arial" w:cs="Arial"/>
                <w:sz w:val="24"/>
                <w:szCs w:val="24"/>
              </w:rPr>
              <w:t>Prihodi od komunalne naknade predstavljaju značajan izvor financiranja održavanja komunalne infrastrukture na području Grada Čakovca. Uzimajući u obzir rast troškova održavanja te potrebe za očuvanjem postojećeg standarda, potrebno je osigurati odgovarajuću razinu prihoda za njihovo financiranje.</w:t>
            </w:r>
          </w:p>
          <w:p w14:paraId="54A6DBED" w14:textId="77777777" w:rsidR="00A240CF" w:rsidRPr="00A240CF" w:rsidRDefault="00A240CF" w:rsidP="00A240CF">
            <w:pPr>
              <w:shd w:val="clear" w:color="auto" w:fill="FDFCFB"/>
              <w:jc w:val="both"/>
              <w:rPr>
                <w:rFonts w:ascii="Arial" w:hAnsi="Arial" w:cs="Arial"/>
                <w:color w:val="000000"/>
                <w:sz w:val="24"/>
                <w:szCs w:val="24"/>
              </w:rPr>
            </w:pPr>
          </w:p>
          <w:p w14:paraId="36979578" w14:textId="77777777" w:rsidR="00A240CF" w:rsidRPr="00A240CF" w:rsidRDefault="00A240CF" w:rsidP="00A240CF">
            <w:pPr>
              <w:shd w:val="clear" w:color="auto" w:fill="FDFCFB"/>
              <w:jc w:val="both"/>
              <w:rPr>
                <w:rFonts w:ascii="Arial" w:hAnsi="Arial" w:cs="Arial"/>
                <w:color w:val="000000"/>
                <w:sz w:val="24"/>
                <w:szCs w:val="24"/>
              </w:rPr>
            </w:pPr>
            <w:r w:rsidRPr="00A240CF">
              <w:rPr>
                <w:rFonts w:ascii="Arial" w:hAnsi="Arial" w:cs="Arial"/>
                <w:color w:val="000000"/>
                <w:sz w:val="24"/>
                <w:szCs w:val="24"/>
              </w:rPr>
              <w:t>Za provođenje akta nije potrebno osigurati sredstva.</w:t>
            </w:r>
          </w:p>
          <w:p w14:paraId="13FE8307" w14:textId="398816B1" w:rsidR="00B3263A" w:rsidRPr="00A240CF" w:rsidRDefault="00B3263A" w:rsidP="00A240CF">
            <w:pPr>
              <w:jc w:val="both"/>
              <w:rPr>
                <w:rFonts w:ascii="Arial" w:hAnsi="Arial" w:cs="Arial"/>
                <w:sz w:val="24"/>
                <w:szCs w:val="24"/>
                <w:lang w:eastAsia="zh-CN"/>
              </w:rPr>
            </w:pPr>
          </w:p>
        </w:tc>
      </w:tr>
    </w:tbl>
    <w:p w14:paraId="427F4678" w14:textId="77777777" w:rsidR="004E6951" w:rsidRPr="00A240CF" w:rsidRDefault="004E6951" w:rsidP="004E6951">
      <w:pPr>
        <w:jc w:val="both"/>
        <w:rPr>
          <w:rFonts w:ascii="Arial" w:hAnsi="Arial" w:cs="Arial"/>
          <w:sz w:val="24"/>
          <w:szCs w:val="24"/>
        </w:rPr>
      </w:pPr>
    </w:p>
    <w:p w14:paraId="51DD2425" w14:textId="6318AAF2" w:rsidR="005C45DE" w:rsidRPr="00A240CF" w:rsidRDefault="00504BE0" w:rsidP="004E6951">
      <w:pPr>
        <w:ind w:left="-709"/>
        <w:jc w:val="both"/>
        <w:rPr>
          <w:rFonts w:ascii="Arial" w:hAnsi="Arial" w:cs="Arial"/>
          <w:bCs/>
          <w:sz w:val="24"/>
          <w:szCs w:val="24"/>
        </w:rPr>
      </w:pPr>
      <w:r w:rsidRPr="00A240CF">
        <w:rPr>
          <w:rFonts w:ascii="Arial" w:hAnsi="Arial" w:cs="Arial"/>
          <w:sz w:val="24"/>
          <w:szCs w:val="24"/>
        </w:rPr>
        <w:t>Pozivamo predstavnike zainteresi</w:t>
      </w:r>
      <w:r w:rsidR="00445B9C" w:rsidRPr="00A240CF">
        <w:rPr>
          <w:rFonts w:ascii="Arial" w:hAnsi="Arial" w:cs="Arial"/>
          <w:sz w:val="24"/>
          <w:szCs w:val="24"/>
        </w:rPr>
        <w:t xml:space="preserve">rane javnosti da najkasnije do </w:t>
      </w:r>
      <w:r w:rsidR="007F4F60">
        <w:rPr>
          <w:rFonts w:ascii="Arial" w:hAnsi="Arial" w:cs="Arial"/>
          <w:sz w:val="24"/>
          <w:szCs w:val="24"/>
        </w:rPr>
        <w:t>20</w:t>
      </w:r>
      <w:r w:rsidR="002439BE" w:rsidRPr="00A240CF">
        <w:rPr>
          <w:rFonts w:ascii="Arial" w:hAnsi="Arial" w:cs="Arial"/>
          <w:sz w:val="24"/>
          <w:szCs w:val="24"/>
        </w:rPr>
        <w:t>.</w:t>
      </w:r>
      <w:r w:rsidR="00B91993" w:rsidRPr="00A240CF">
        <w:rPr>
          <w:rFonts w:ascii="Arial" w:hAnsi="Arial" w:cs="Arial"/>
          <w:sz w:val="24"/>
          <w:szCs w:val="24"/>
        </w:rPr>
        <w:t xml:space="preserve"> </w:t>
      </w:r>
      <w:r w:rsidR="007F4F60">
        <w:rPr>
          <w:rFonts w:ascii="Arial" w:hAnsi="Arial" w:cs="Arial"/>
          <w:sz w:val="24"/>
          <w:szCs w:val="24"/>
        </w:rPr>
        <w:t>kolovoza</w:t>
      </w:r>
      <w:r w:rsidR="00B224C6" w:rsidRPr="00A240CF">
        <w:rPr>
          <w:rFonts w:ascii="Arial" w:hAnsi="Arial" w:cs="Arial"/>
          <w:sz w:val="24"/>
          <w:szCs w:val="24"/>
        </w:rPr>
        <w:t xml:space="preserve"> </w:t>
      </w:r>
      <w:r w:rsidR="00360936" w:rsidRPr="00A240CF">
        <w:rPr>
          <w:rFonts w:ascii="Arial" w:hAnsi="Arial" w:cs="Arial"/>
          <w:sz w:val="24"/>
          <w:szCs w:val="24"/>
        </w:rPr>
        <w:t>20</w:t>
      </w:r>
      <w:r w:rsidR="005A7116" w:rsidRPr="00A240CF">
        <w:rPr>
          <w:rFonts w:ascii="Arial" w:hAnsi="Arial" w:cs="Arial"/>
          <w:sz w:val="24"/>
          <w:szCs w:val="24"/>
        </w:rPr>
        <w:t>2</w:t>
      </w:r>
      <w:r w:rsidR="0047264D" w:rsidRPr="00A240CF">
        <w:rPr>
          <w:rFonts w:ascii="Arial" w:hAnsi="Arial" w:cs="Arial"/>
          <w:sz w:val="24"/>
          <w:szCs w:val="24"/>
        </w:rPr>
        <w:t>6</w:t>
      </w:r>
      <w:r w:rsidRPr="00A240CF">
        <w:rPr>
          <w:rFonts w:ascii="Arial" w:hAnsi="Arial" w:cs="Arial"/>
          <w:sz w:val="24"/>
          <w:szCs w:val="24"/>
        </w:rPr>
        <w:t>. dostave svoje komentare na nacrt</w:t>
      </w:r>
      <w:r w:rsidR="00B168A0" w:rsidRPr="00A240CF">
        <w:rPr>
          <w:rFonts w:ascii="Arial" w:hAnsi="Arial" w:cs="Arial"/>
          <w:sz w:val="24"/>
          <w:szCs w:val="24"/>
        </w:rPr>
        <w:t xml:space="preserve"> prijedloga</w:t>
      </w:r>
      <w:r w:rsidR="007F4F60">
        <w:rPr>
          <w:rFonts w:ascii="Arial" w:hAnsi="Arial" w:cs="Arial"/>
          <w:sz w:val="24"/>
          <w:szCs w:val="24"/>
        </w:rPr>
        <w:t xml:space="preserve"> Odluke</w:t>
      </w:r>
      <w:r w:rsidR="00ED04F6" w:rsidRPr="00A240CF">
        <w:rPr>
          <w:rFonts w:ascii="Arial" w:hAnsi="Arial" w:cs="Arial"/>
          <w:sz w:val="24"/>
          <w:szCs w:val="24"/>
        </w:rPr>
        <w:t xml:space="preserve"> </w:t>
      </w:r>
      <w:r w:rsidR="007F4F60" w:rsidRPr="007F4F60">
        <w:rPr>
          <w:rFonts w:ascii="Arial" w:hAnsi="Arial" w:cs="Arial"/>
          <w:bCs/>
          <w:sz w:val="24"/>
          <w:szCs w:val="24"/>
        </w:rPr>
        <w:t>o komunalnoj naknadi</w:t>
      </w:r>
      <w:r w:rsidR="007F4F60">
        <w:rPr>
          <w:rFonts w:ascii="Arial" w:hAnsi="Arial" w:cs="Arial"/>
          <w:bCs/>
          <w:sz w:val="24"/>
          <w:szCs w:val="24"/>
        </w:rPr>
        <w:t>.</w:t>
      </w:r>
    </w:p>
    <w:p w14:paraId="03023D9D" w14:textId="77777777" w:rsidR="00EC71CE" w:rsidRPr="00A240CF" w:rsidRDefault="00504BE0" w:rsidP="0012209E">
      <w:pPr>
        <w:spacing w:after="0" w:line="240" w:lineRule="auto"/>
        <w:ind w:left="-709"/>
        <w:jc w:val="both"/>
        <w:rPr>
          <w:rFonts w:ascii="Arial" w:hAnsi="Arial" w:cs="Arial"/>
          <w:b/>
          <w:sz w:val="24"/>
          <w:szCs w:val="24"/>
        </w:rPr>
      </w:pPr>
      <w:r w:rsidRPr="00A240CF">
        <w:rPr>
          <w:rFonts w:ascii="Arial" w:hAnsi="Arial" w:cs="Arial"/>
          <w:sz w:val="24"/>
          <w:szCs w:val="24"/>
        </w:rPr>
        <w:t>Po završetku sav</w:t>
      </w:r>
      <w:r w:rsidR="004D6BB1" w:rsidRPr="00A240CF">
        <w:rPr>
          <w:rFonts w:ascii="Arial" w:hAnsi="Arial" w:cs="Arial"/>
          <w:sz w:val="24"/>
          <w:szCs w:val="24"/>
        </w:rPr>
        <w:t>jetovanja svi pristigli doprinos</w:t>
      </w:r>
      <w:r w:rsidRPr="00A240CF">
        <w:rPr>
          <w:rFonts w:ascii="Arial" w:hAnsi="Arial" w:cs="Arial"/>
          <w:sz w:val="24"/>
          <w:szCs w:val="24"/>
        </w:rPr>
        <w:t>i bit će javno dostupni na internetskoj stranici Grada Čakovca.</w:t>
      </w:r>
    </w:p>
    <w:p w14:paraId="08024FBC" w14:textId="77777777" w:rsidR="00EC71CE" w:rsidRPr="00A240CF" w:rsidRDefault="00EC71CE" w:rsidP="00E97189">
      <w:pPr>
        <w:spacing w:after="0" w:line="240" w:lineRule="auto"/>
        <w:ind w:left="-709"/>
        <w:jc w:val="both"/>
        <w:rPr>
          <w:rFonts w:ascii="Arial" w:hAnsi="Arial" w:cs="Arial"/>
          <w:b/>
          <w:sz w:val="24"/>
          <w:szCs w:val="24"/>
        </w:rPr>
      </w:pPr>
    </w:p>
    <w:p w14:paraId="5BB98C68" w14:textId="77777777" w:rsidR="00E97189" w:rsidRPr="00A240CF" w:rsidRDefault="00504BE0" w:rsidP="00E97189">
      <w:pPr>
        <w:spacing w:after="0" w:line="240" w:lineRule="auto"/>
        <w:ind w:left="-709"/>
        <w:jc w:val="both"/>
        <w:rPr>
          <w:rFonts w:ascii="Arial" w:hAnsi="Arial" w:cs="Arial"/>
          <w:b/>
          <w:sz w:val="24"/>
          <w:szCs w:val="24"/>
        </w:rPr>
      </w:pPr>
      <w:r w:rsidRPr="00A240CF">
        <w:rPr>
          <w:rFonts w:ascii="Arial" w:hAnsi="Arial" w:cs="Arial"/>
          <w:sz w:val="24"/>
          <w:szCs w:val="24"/>
        </w:rPr>
        <w:t>Ukoliko ne želite da Vaš doprinos bude javno objavljen, molimo Vas da to jasno istaknete pri dostavi obrasca.</w:t>
      </w:r>
    </w:p>
    <w:p w14:paraId="784C4996" w14:textId="77777777" w:rsidR="00E97189" w:rsidRPr="00A240CF" w:rsidRDefault="00E97189" w:rsidP="00E97189">
      <w:pPr>
        <w:spacing w:after="0" w:line="240" w:lineRule="auto"/>
        <w:ind w:left="-709"/>
        <w:jc w:val="both"/>
        <w:rPr>
          <w:rFonts w:ascii="Arial" w:hAnsi="Arial" w:cs="Arial"/>
          <w:b/>
          <w:iCs/>
          <w:sz w:val="24"/>
          <w:szCs w:val="24"/>
        </w:rPr>
      </w:pPr>
    </w:p>
    <w:p w14:paraId="1DA9FE97" w14:textId="6187D4A9" w:rsidR="00801B4B" w:rsidRPr="007F4F60" w:rsidRDefault="00504BE0" w:rsidP="003324B1">
      <w:pPr>
        <w:ind w:left="-709"/>
        <w:jc w:val="both"/>
        <w:rPr>
          <w:rFonts w:ascii="Arial" w:hAnsi="Arial" w:cs="Arial"/>
          <w:bCs/>
          <w:i/>
          <w:sz w:val="24"/>
          <w:szCs w:val="24"/>
        </w:rPr>
      </w:pPr>
      <w:r w:rsidRPr="00A240CF">
        <w:rPr>
          <w:rFonts w:ascii="Arial" w:hAnsi="Arial" w:cs="Arial"/>
          <w:iCs/>
          <w:sz w:val="24"/>
          <w:szCs w:val="24"/>
        </w:rPr>
        <w:t>Zahvaljujemo na doprinosu u i</w:t>
      </w:r>
      <w:r w:rsidR="00D511C2" w:rsidRPr="00A240CF">
        <w:rPr>
          <w:rFonts w:ascii="Arial" w:hAnsi="Arial" w:cs="Arial"/>
          <w:iCs/>
          <w:sz w:val="24"/>
          <w:szCs w:val="24"/>
        </w:rPr>
        <w:t xml:space="preserve">zradi što kvalitetnijeg </w:t>
      </w:r>
      <w:r w:rsidR="00686A5D" w:rsidRPr="00A240CF">
        <w:rPr>
          <w:rFonts w:ascii="Arial" w:hAnsi="Arial" w:cs="Arial"/>
          <w:iCs/>
          <w:sz w:val="24"/>
          <w:szCs w:val="24"/>
        </w:rPr>
        <w:t>prijedloga</w:t>
      </w:r>
      <w:r w:rsidR="007F4F60">
        <w:rPr>
          <w:rFonts w:ascii="Arial" w:hAnsi="Arial" w:cs="Arial"/>
          <w:iCs/>
          <w:sz w:val="24"/>
          <w:szCs w:val="24"/>
        </w:rPr>
        <w:t xml:space="preserve"> Odluke</w:t>
      </w:r>
      <w:r w:rsidR="00686A5D" w:rsidRPr="00A240CF">
        <w:rPr>
          <w:rFonts w:ascii="Arial" w:hAnsi="Arial" w:cs="Arial"/>
          <w:iCs/>
          <w:sz w:val="24"/>
          <w:szCs w:val="24"/>
        </w:rPr>
        <w:t xml:space="preserve"> </w:t>
      </w:r>
      <w:r w:rsidR="007F4F60" w:rsidRPr="007F4F60">
        <w:rPr>
          <w:rFonts w:ascii="Arial" w:hAnsi="Arial" w:cs="Arial"/>
          <w:bCs/>
          <w:sz w:val="24"/>
          <w:szCs w:val="24"/>
        </w:rPr>
        <w:t>o komunalnoj naknadi.</w:t>
      </w:r>
    </w:p>
    <w:p w14:paraId="1D98A38D" w14:textId="5808AC83" w:rsidR="00E97189" w:rsidRPr="000D5DAB" w:rsidRDefault="00737AAB" w:rsidP="00E97189">
      <w:pPr>
        <w:spacing w:after="0" w:line="240" w:lineRule="auto"/>
        <w:ind w:left="-709"/>
        <w:jc w:val="both"/>
        <w:rPr>
          <w:rFonts w:ascii="Arial" w:hAnsi="Arial" w:cs="Arial"/>
          <w:b/>
          <w:sz w:val="24"/>
          <w:szCs w:val="24"/>
        </w:rPr>
      </w:pPr>
      <w:r w:rsidRPr="000D5DAB">
        <w:rPr>
          <w:rFonts w:ascii="Arial" w:hAnsi="Arial" w:cs="Arial"/>
          <w:sz w:val="24"/>
          <w:szCs w:val="24"/>
        </w:rPr>
        <w:t>KLASA:</w:t>
      </w:r>
      <w:r w:rsidR="00AA1FF8" w:rsidRPr="000D5DAB">
        <w:rPr>
          <w:rFonts w:ascii="Arial" w:hAnsi="Arial" w:cs="Arial"/>
          <w:sz w:val="24"/>
          <w:szCs w:val="24"/>
        </w:rPr>
        <w:t xml:space="preserve"> </w:t>
      </w:r>
      <w:r w:rsidR="000D5DAB" w:rsidRPr="000D5DAB">
        <w:rPr>
          <w:rFonts w:ascii="Arial" w:hAnsi="Arial" w:cs="Arial"/>
          <w:sz w:val="24"/>
          <w:szCs w:val="24"/>
        </w:rPr>
        <w:t>363-02/26-06/2</w:t>
      </w:r>
      <w:r w:rsidR="00AA1FF8" w:rsidRPr="000D5DAB">
        <w:rPr>
          <w:rFonts w:ascii="Arial" w:hAnsi="Arial" w:cs="Arial"/>
          <w:sz w:val="24"/>
          <w:szCs w:val="24"/>
        </w:rPr>
        <w:t xml:space="preserve">   </w:t>
      </w:r>
    </w:p>
    <w:p w14:paraId="03C710A6" w14:textId="2FC2FCB3" w:rsidR="00E97189" w:rsidRPr="00A240CF" w:rsidRDefault="00737AAB" w:rsidP="00E97189">
      <w:pPr>
        <w:spacing w:after="0" w:line="240" w:lineRule="auto"/>
        <w:ind w:left="-709"/>
        <w:jc w:val="both"/>
        <w:rPr>
          <w:rFonts w:ascii="Arial" w:hAnsi="Arial" w:cs="Arial"/>
          <w:b/>
          <w:sz w:val="24"/>
          <w:szCs w:val="24"/>
        </w:rPr>
      </w:pPr>
      <w:r w:rsidRPr="000D5DAB">
        <w:rPr>
          <w:rFonts w:ascii="Arial" w:hAnsi="Arial" w:cs="Arial"/>
          <w:sz w:val="24"/>
          <w:szCs w:val="24"/>
        </w:rPr>
        <w:t xml:space="preserve">URBROJ: </w:t>
      </w:r>
      <w:r w:rsidR="00DF21EC" w:rsidRPr="000D5DAB">
        <w:rPr>
          <w:rFonts w:ascii="Arial" w:hAnsi="Arial" w:cs="Arial"/>
          <w:sz w:val="24"/>
          <w:szCs w:val="24"/>
        </w:rPr>
        <w:t>2109-2-09-01-26-</w:t>
      </w:r>
      <w:r w:rsidR="00A240CF" w:rsidRPr="000D5DAB">
        <w:rPr>
          <w:rFonts w:ascii="Arial" w:hAnsi="Arial" w:cs="Arial"/>
          <w:sz w:val="24"/>
          <w:szCs w:val="24"/>
        </w:rPr>
        <w:t>2</w:t>
      </w:r>
    </w:p>
    <w:p w14:paraId="4C360843" w14:textId="088B23D3" w:rsidR="00924480" w:rsidRPr="00A240CF" w:rsidRDefault="00964FCB" w:rsidP="00B06218">
      <w:pPr>
        <w:spacing w:after="0" w:line="240" w:lineRule="auto"/>
        <w:ind w:left="-709"/>
        <w:jc w:val="both"/>
        <w:rPr>
          <w:rFonts w:ascii="Arial" w:hAnsi="Arial" w:cs="Arial"/>
          <w:sz w:val="24"/>
          <w:szCs w:val="24"/>
        </w:rPr>
      </w:pPr>
      <w:r w:rsidRPr="00A240CF">
        <w:rPr>
          <w:rFonts w:ascii="Arial" w:hAnsi="Arial" w:cs="Arial"/>
          <w:sz w:val="24"/>
          <w:szCs w:val="24"/>
        </w:rPr>
        <w:t xml:space="preserve">Čakovec, </w:t>
      </w:r>
      <w:r w:rsidR="00A240CF">
        <w:rPr>
          <w:rFonts w:ascii="Arial" w:hAnsi="Arial" w:cs="Arial"/>
          <w:sz w:val="24"/>
          <w:szCs w:val="24"/>
        </w:rPr>
        <w:t>20</w:t>
      </w:r>
      <w:r w:rsidR="00851E80" w:rsidRPr="00A240CF">
        <w:rPr>
          <w:rFonts w:ascii="Arial" w:hAnsi="Arial" w:cs="Arial"/>
          <w:sz w:val="24"/>
          <w:szCs w:val="24"/>
        </w:rPr>
        <w:t xml:space="preserve">. </w:t>
      </w:r>
      <w:r w:rsidR="00A240CF">
        <w:rPr>
          <w:rFonts w:ascii="Arial" w:hAnsi="Arial" w:cs="Arial"/>
          <w:sz w:val="24"/>
          <w:szCs w:val="24"/>
        </w:rPr>
        <w:t>srpnja</w:t>
      </w:r>
      <w:r w:rsidR="00924480" w:rsidRPr="00A240CF">
        <w:rPr>
          <w:rFonts w:ascii="Arial" w:hAnsi="Arial" w:cs="Arial"/>
          <w:sz w:val="24"/>
          <w:szCs w:val="24"/>
        </w:rPr>
        <w:t xml:space="preserve"> 202</w:t>
      </w:r>
      <w:r w:rsidR="0047264D" w:rsidRPr="00A240CF">
        <w:rPr>
          <w:rFonts w:ascii="Arial" w:hAnsi="Arial" w:cs="Arial"/>
          <w:sz w:val="24"/>
          <w:szCs w:val="24"/>
        </w:rPr>
        <w:t>6</w:t>
      </w:r>
      <w:r w:rsidR="00924480" w:rsidRPr="00A240CF">
        <w:rPr>
          <w:rFonts w:ascii="Arial" w:hAnsi="Arial" w:cs="Arial"/>
          <w:sz w:val="24"/>
          <w:szCs w:val="24"/>
        </w:rPr>
        <w:t>.</w:t>
      </w:r>
    </w:p>
    <w:sectPr w:rsidR="00924480" w:rsidRPr="00A240CF" w:rsidSect="00E71B49">
      <w:pgSz w:w="11906" w:h="16838"/>
      <w:pgMar w:top="1135"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8452F5"/>
    <w:multiLevelType w:val="hybridMultilevel"/>
    <w:tmpl w:val="1E169F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45409C"/>
    <w:multiLevelType w:val="hybridMultilevel"/>
    <w:tmpl w:val="D346AC7E"/>
    <w:lvl w:ilvl="0" w:tplc="74A6A650">
      <w:start w:val="5"/>
      <w:numFmt w:val="bullet"/>
      <w:lvlText w:val=""/>
      <w:lvlJc w:val="left"/>
      <w:pPr>
        <w:ind w:left="720" w:hanging="360"/>
      </w:pPr>
      <w:rPr>
        <w:rFonts w:ascii="Symbol" w:eastAsia="Times New Roman"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911247"/>
    <w:multiLevelType w:val="hybridMultilevel"/>
    <w:tmpl w:val="03F4EB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E67F02"/>
    <w:multiLevelType w:val="multilevel"/>
    <w:tmpl w:val="6562E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F1555"/>
    <w:multiLevelType w:val="multilevel"/>
    <w:tmpl w:val="FF68F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630C0"/>
    <w:multiLevelType w:val="hybridMultilevel"/>
    <w:tmpl w:val="282209EA"/>
    <w:lvl w:ilvl="0" w:tplc="E264CDC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39D09DC"/>
    <w:multiLevelType w:val="multilevel"/>
    <w:tmpl w:val="239D0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68D1A1D"/>
    <w:multiLevelType w:val="hybridMultilevel"/>
    <w:tmpl w:val="DBBE90E6"/>
    <w:lvl w:ilvl="0" w:tplc="DC9E32B4">
      <w:numFmt w:val="bullet"/>
      <w:lvlText w:val="-"/>
      <w:lvlJc w:val="left"/>
      <w:pPr>
        <w:tabs>
          <w:tab w:val="num" w:pos="442"/>
        </w:tabs>
        <w:ind w:left="442" w:hanging="360"/>
      </w:pPr>
      <w:rPr>
        <w:rFonts w:ascii="Arial" w:eastAsia="Calibri" w:hAnsi="Arial" w:cs="Arial" w:hint="default"/>
        <w:w w:val="100"/>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A941F8"/>
    <w:multiLevelType w:val="hybridMultilevel"/>
    <w:tmpl w:val="CB6CA65A"/>
    <w:lvl w:ilvl="0" w:tplc="7DB4D16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0" w15:restartNumberingAfterBreak="0">
    <w:nsid w:val="2D37602A"/>
    <w:multiLevelType w:val="multilevel"/>
    <w:tmpl w:val="E4D44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C4152"/>
    <w:multiLevelType w:val="hybridMultilevel"/>
    <w:tmpl w:val="3EF0E1D6"/>
    <w:lvl w:ilvl="0" w:tplc="E6D286B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C35C34"/>
    <w:multiLevelType w:val="hybridMultilevel"/>
    <w:tmpl w:val="21CE34E2"/>
    <w:lvl w:ilvl="0" w:tplc="CAAA4FA2">
      <w:numFmt w:val="bullet"/>
      <w:lvlText w:val="-"/>
      <w:lvlJc w:val="left"/>
      <w:pPr>
        <w:tabs>
          <w:tab w:val="num" w:pos="1004"/>
        </w:tabs>
        <w:ind w:left="1004" w:hanging="360"/>
      </w:pPr>
      <w:rPr>
        <w:rFonts w:ascii="Arial" w:eastAsia="Times New Roman" w:hAnsi="Arial" w:cs="Arial" w:hint="default"/>
      </w:rPr>
    </w:lvl>
    <w:lvl w:ilvl="1" w:tplc="041A0003" w:tentative="1">
      <w:start w:val="1"/>
      <w:numFmt w:val="bullet"/>
      <w:lvlText w:val="o"/>
      <w:lvlJc w:val="left"/>
      <w:pPr>
        <w:tabs>
          <w:tab w:val="num" w:pos="1724"/>
        </w:tabs>
        <w:ind w:left="1724" w:hanging="360"/>
      </w:pPr>
      <w:rPr>
        <w:rFonts w:ascii="Courier New" w:hAnsi="Courier New" w:hint="default"/>
      </w:rPr>
    </w:lvl>
    <w:lvl w:ilvl="2" w:tplc="041A0005" w:tentative="1">
      <w:start w:val="1"/>
      <w:numFmt w:val="bullet"/>
      <w:lvlText w:val=""/>
      <w:lvlJc w:val="left"/>
      <w:pPr>
        <w:tabs>
          <w:tab w:val="num" w:pos="2444"/>
        </w:tabs>
        <w:ind w:left="2444" w:hanging="360"/>
      </w:pPr>
      <w:rPr>
        <w:rFonts w:ascii="Wingdings" w:hAnsi="Wingdings" w:hint="default"/>
      </w:rPr>
    </w:lvl>
    <w:lvl w:ilvl="3" w:tplc="041A0001" w:tentative="1">
      <w:start w:val="1"/>
      <w:numFmt w:val="bullet"/>
      <w:lvlText w:val=""/>
      <w:lvlJc w:val="left"/>
      <w:pPr>
        <w:tabs>
          <w:tab w:val="num" w:pos="3164"/>
        </w:tabs>
        <w:ind w:left="3164" w:hanging="360"/>
      </w:pPr>
      <w:rPr>
        <w:rFonts w:ascii="Symbol" w:hAnsi="Symbol" w:hint="default"/>
      </w:rPr>
    </w:lvl>
    <w:lvl w:ilvl="4" w:tplc="041A0003" w:tentative="1">
      <w:start w:val="1"/>
      <w:numFmt w:val="bullet"/>
      <w:lvlText w:val="o"/>
      <w:lvlJc w:val="left"/>
      <w:pPr>
        <w:tabs>
          <w:tab w:val="num" w:pos="3884"/>
        </w:tabs>
        <w:ind w:left="3884" w:hanging="360"/>
      </w:pPr>
      <w:rPr>
        <w:rFonts w:ascii="Courier New" w:hAnsi="Courier New" w:hint="default"/>
      </w:rPr>
    </w:lvl>
    <w:lvl w:ilvl="5" w:tplc="041A0005" w:tentative="1">
      <w:start w:val="1"/>
      <w:numFmt w:val="bullet"/>
      <w:lvlText w:val=""/>
      <w:lvlJc w:val="left"/>
      <w:pPr>
        <w:tabs>
          <w:tab w:val="num" w:pos="4604"/>
        </w:tabs>
        <w:ind w:left="4604" w:hanging="360"/>
      </w:pPr>
      <w:rPr>
        <w:rFonts w:ascii="Wingdings" w:hAnsi="Wingdings" w:hint="default"/>
      </w:rPr>
    </w:lvl>
    <w:lvl w:ilvl="6" w:tplc="041A0001" w:tentative="1">
      <w:start w:val="1"/>
      <w:numFmt w:val="bullet"/>
      <w:lvlText w:val=""/>
      <w:lvlJc w:val="left"/>
      <w:pPr>
        <w:tabs>
          <w:tab w:val="num" w:pos="5324"/>
        </w:tabs>
        <w:ind w:left="5324" w:hanging="360"/>
      </w:pPr>
      <w:rPr>
        <w:rFonts w:ascii="Symbol" w:hAnsi="Symbol" w:hint="default"/>
      </w:rPr>
    </w:lvl>
    <w:lvl w:ilvl="7" w:tplc="041A0003" w:tentative="1">
      <w:start w:val="1"/>
      <w:numFmt w:val="bullet"/>
      <w:lvlText w:val="o"/>
      <w:lvlJc w:val="left"/>
      <w:pPr>
        <w:tabs>
          <w:tab w:val="num" w:pos="6044"/>
        </w:tabs>
        <w:ind w:left="6044" w:hanging="360"/>
      </w:pPr>
      <w:rPr>
        <w:rFonts w:ascii="Courier New" w:hAnsi="Courier New" w:hint="default"/>
      </w:rPr>
    </w:lvl>
    <w:lvl w:ilvl="8" w:tplc="041A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ED353B7"/>
    <w:multiLevelType w:val="hybridMultilevel"/>
    <w:tmpl w:val="FB36CF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9C1189"/>
    <w:multiLevelType w:val="hybridMultilevel"/>
    <w:tmpl w:val="8ED06E6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D9269C"/>
    <w:multiLevelType w:val="hybridMultilevel"/>
    <w:tmpl w:val="94889B2C"/>
    <w:lvl w:ilvl="0" w:tplc="63DA0DBE">
      <w:numFmt w:val="bullet"/>
      <w:lvlText w:val="-"/>
      <w:lvlJc w:val="left"/>
      <w:pPr>
        <w:ind w:left="1065"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15:restartNumberingAfterBreak="0">
    <w:nsid w:val="46821A41"/>
    <w:multiLevelType w:val="hybridMultilevel"/>
    <w:tmpl w:val="5254B2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8E546F1"/>
    <w:multiLevelType w:val="hybridMultilevel"/>
    <w:tmpl w:val="1E9A5554"/>
    <w:lvl w:ilvl="0" w:tplc="D81C67CA">
      <w:start w:val="2"/>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AC431A"/>
    <w:multiLevelType w:val="multilevel"/>
    <w:tmpl w:val="03ECE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6042E"/>
    <w:multiLevelType w:val="hybridMultilevel"/>
    <w:tmpl w:val="7A6C07B8"/>
    <w:lvl w:ilvl="0" w:tplc="66FE763C">
      <w:start w:val="2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055251C"/>
    <w:multiLevelType w:val="hybridMultilevel"/>
    <w:tmpl w:val="914443F4"/>
    <w:lvl w:ilvl="0" w:tplc="10BC66CC">
      <w:start w:val="1"/>
      <w:numFmt w:val="bullet"/>
      <w:lvlText w:val=""/>
      <w:lvlJc w:val="left"/>
      <w:pPr>
        <w:tabs>
          <w:tab w:val="num" w:pos="720"/>
        </w:tabs>
        <w:ind w:left="720" w:hanging="360"/>
      </w:pPr>
      <w:rPr>
        <w:rFonts w:ascii="Symbol" w:hAnsi="Symbol" w:hint="default"/>
      </w:rPr>
    </w:lvl>
    <w:lvl w:ilvl="1" w:tplc="51F493B6">
      <w:numFmt w:val="bullet"/>
      <w:lvlText w:val=""/>
      <w:lvlJc w:val="left"/>
      <w:pPr>
        <w:ind w:left="1440" w:hanging="360"/>
      </w:pPr>
      <w:rPr>
        <w:rFonts w:ascii="Symbol" w:eastAsiaTheme="minorHAnsi" w:hAnsi="Symbol" w:cstheme="minorBidi" w:hint="default"/>
      </w:rPr>
    </w:lvl>
    <w:lvl w:ilvl="2" w:tplc="9C563A6A">
      <w:numFmt w:val="bullet"/>
      <w:lvlText w:val="•"/>
      <w:lvlJc w:val="left"/>
      <w:pPr>
        <w:ind w:left="2160" w:hanging="360"/>
      </w:pPr>
      <w:rPr>
        <w:rFonts w:ascii="Calibri" w:eastAsiaTheme="minorHAnsi" w:hAnsi="Calibri" w:cs="Calibri" w:hint="default"/>
      </w:rPr>
    </w:lvl>
    <w:lvl w:ilvl="3" w:tplc="32BA7F78">
      <w:numFmt w:val="bullet"/>
      <w:lvlText w:val="-"/>
      <w:lvlJc w:val="left"/>
      <w:pPr>
        <w:ind w:left="2880" w:hanging="360"/>
      </w:pPr>
      <w:rPr>
        <w:rFonts w:ascii="Calibri" w:eastAsia="Calibri" w:hAnsi="Calibri" w:cs="Calibri"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0253B6"/>
    <w:multiLevelType w:val="hybridMultilevel"/>
    <w:tmpl w:val="97CE53FC"/>
    <w:lvl w:ilvl="0" w:tplc="20F6CC1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A9B23F0"/>
    <w:multiLevelType w:val="hybridMultilevel"/>
    <w:tmpl w:val="6902D6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D9731EA"/>
    <w:multiLevelType w:val="hybridMultilevel"/>
    <w:tmpl w:val="755260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EF35C4F"/>
    <w:multiLevelType w:val="multilevel"/>
    <w:tmpl w:val="5EF35C4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5F546AE9"/>
    <w:multiLevelType w:val="hybridMultilevel"/>
    <w:tmpl w:val="742E6EA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12766FC"/>
    <w:multiLevelType w:val="multilevel"/>
    <w:tmpl w:val="61276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C35EE3"/>
    <w:multiLevelType w:val="hybridMultilevel"/>
    <w:tmpl w:val="0DC004FE"/>
    <w:lvl w:ilvl="0" w:tplc="CAAA4FA2">
      <w:numFmt w:val="bullet"/>
      <w:lvlText w:val="-"/>
      <w:lvlJc w:val="left"/>
      <w:pPr>
        <w:tabs>
          <w:tab w:val="num" w:pos="1005"/>
        </w:tabs>
        <w:ind w:left="1005" w:hanging="360"/>
      </w:pPr>
      <w:rPr>
        <w:rFonts w:ascii="Arial" w:eastAsia="Times New Roman" w:hAnsi="Arial" w:cs="Arial" w:hint="default"/>
      </w:rPr>
    </w:lvl>
    <w:lvl w:ilvl="1" w:tplc="041A0003" w:tentative="1">
      <w:start w:val="1"/>
      <w:numFmt w:val="bullet"/>
      <w:lvlText w:val="o"/>
      <w:lvlJc w:val="left"/>
      <w:pPr>
        <w:tabs>
          <w:tab w:val="num" w:pos="1725"/>
        </w:tabs>
        <w:ind w:left="1725" w:hanging="360"/>
      </w:pPr>
      <w:rPr>
        <w:rFonts w:ascii="Courier New" w:hAnsi="Courier New" w:hint="default"/>
      </w:rPr>
    </w:lvl>
    <w:lvl w:ilvl="2" w:tplc="041A0005" w:tentative="1">
      <w:start w:val="1"/>
      <w:numFmt w:val="bullet"/>
      <w:lvlText w:val=""/>
      <w:lvlJc w:val="left"/>
      <w:pPr>
        <w:tabs>
          <w:tab w:val="num" w:pos="2445"/>
        </w:tabs>
        <w:ind w:left="2445" w:hanging="360"/>
      </w:pPr>
      <w:rPr>
        <w:rFonts w:ascii="Wingdings" w:hAnsi="Wingdings" w:hint="default"/>
      </w:rPr>
    </w:lvl>
    <w:lvl w:ilvl="3" w:tplc="041A0001" w:tentative="1">
      <w:start w:val="1"/>
      <w:numFmt w:val="bullet"/>
      <w:lvlText w:val=""/>
      <w:lvlJc w:val="left"/>
      <w:pPr>
        <w:tabs>
          <w:tab w:val="num" w:pos="3165"/>
        </w:tabs>
        <w:ind w:left="3165" w:hanging="360"/>
      </w:pPr>
      <w:rPr>
        <w:rFonts w:ascii="Symbol" w:hAnsi="Symbol" w:hint="default"/>
      </w:rPr>
    </w:lvl>
    <w:lvl w:ilvl="4" w:tplc="041A0003" w:tentative="1">
      <w:start w:val="1"/>
      <w:numFmt w:val="bullet"/>
      <w:lvlText w:val="o"/>
      <w:lvlJc w:val="left"/>
      <w:pPr>
        <w:tabs>
          <w:tab w:val="num" w:pos="3885"/>
        </w:tabs>
        <w:ind w:left="3885" w:hanging="360"/>
      </w:pPr>
      <w:rPr>
        <w:rFonts w:ascii="Courier New" w:hAnsi="Courier New" w:hint="default"/>
      </w:rPr>
    </w:lvl>
    <w:lvl w:ilvl="5" w:tplc="041A0005" w:tentative="1">
      <w:start w:val="1"/>
      <w:numFmt w:val="bullet"/>
      <w:lvlText w:val=""/>
      <w:lvlJc w:val="left"/>
      <w:pPr>
        <w:tabs>
          <w:tab w:val="num" w:pos="4605"/>
        </w:tabs>
        <w:ind w:left="4605" w:hanging="360"/>
      </w:pPr>
      <w:rPr>
        <w:rFonts w:ascii="Wingdings" w:hAnsi="Wingdings" w:hint="default"/>
      </w:rPr>
    </w:lvl>
    <w:lvl w:ilvl="6" w:tplc="041A0001" w:tentative="1">
      <w:start w:val="1"/>
      <w:numFmt w:val="bullet"/>
      <w:lvlText w:val=""/>
      <w:lvlJc w:val="left"/>
      <w:pPr>
        <w:tabs>
          <w:tab w:val="num" w:pos="5325"/>
        </w:tabs>
        <w:ind w:left="5325" w:hanging="360"/>
      </w:pPr>
      <w:rPr>
        <w:rFonts w:ascii="Symbol" w:hAnsi="Symbol" w:hint="default"/>
      </w:rPr>
    </w:lvl>
    <w:lvl w:ilvl="7" w:tplc="041A0003" w:tentative="1">
      <w:start w:val="1"/>
      <w:numFmt w:val="bullet"/>
      <w:lvlText w:val="o"/>
      <w:lvlJc w:val="left"/>
      <w:pPr>
        <w:tabs>
          <w:tab w:val="num" w:pos="6045"/>
        </w:tabs>
        <w:ind w:left="6045" w:hanging="360"/>
      </w:pPr>
      <w:rPr>
        <w:rFonts w:ascii="Courier New" w:hAnsi="Courier New" w:hint="default"/>
      </w:rPr>
    </w:lvl>
    <w:lvl w:ilvl="8" w:tplc="041A0005" w:tentative="1">
      <w:start w:val="1"/>
      <w:numFmt w:val="bullet"/>
      <w:lvlText w:val=""/>
      <w:lvlJc w:val="left"/>
      <w:pPr>
        <w:tabs>
          <w:tab w:val="num" w:pos="6765"/>
        </w:tabs>
        <w:ind w:left="6765" w:hanging="360"/>
      </w:pPr>
      <w:rPr>
        <w:rFonts w:ascii="Wingdings" w:hAnsi="Wingdings" w:hint="default"/>
      </w:rPr>
    </w:lvl>
  </w:abstractNum>
  <w:abstractNum w:abstractNumId="28" w15:restartNumberingAfterBreak="0">
    <w:nsid w:val="79393FAF"/>
    <w:multiLevelType w:val="multilevel"/>
    <w:tmpl w:val="AB42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774F4"/>
    <w:multiLevelType w:val="hybridMultilevel"/>
    <w:tmpl w:val="69BE3678"/>
    <w:lvl w:ilvl="0" w:tplc="BC360678">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7C8A0C08"/>
    <w:multiLevelType w:val="multilevel"/>
    <w:tmpl w:val="61DC9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483FF2"/>
    <w:multiLevelType w:val="hybridMultilevel"/>
    <w:tmpl w:val="0C465B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22467689">
    <w:abstractNumId w:val="23"/>
  </w:num>
  <w:num w:numId="2" w16cid:durableId="2005009719">
    <w:abstractNumId w:val="8"/>
  </w:num>
  <w:num w:numId="3" w16cid:durableId="893388422">
    <w:abstractNumId w:val="14"/>
  </w:num>
  <w:num w:numId="4" w16cid:durableId="1046685528">
    <w:abstractNumId w:val="27"/>
  </w:num>
  <w:num w:numId="5" w16cid:durableId="1316379638">
    <w:abstractNumId w:val="12"/>
  </w:num>
  <w:num w:numId="6" w16cid:durableId="1027875698">
    <w:abstractNumId w:val="6"/>
  </w:num>
  <w:num w:numId="7" w16cid:durableId="568883440">
    <w:abstractNumId w:val="29"/>
  </w:num>
  <w:num w:numId="8" w16cid:durableId="1990210709">
    <w:abstractNumId w:val="15"/>
  </w:num>
  <w:num w:numId="9" w16cid:durableId="1643270575">
    <w:abstractNumId w:val="31"/>
  </w:num>
  <w:num w:numId="10" w16cid:durableId="1899245680">
    <w:abstractNumId w:val="21"/>
  </w:num>
  <w:num w:numId="11" w16cid:durableId="863833223">
    <w:abstractNumId w:val="9"/>
  </w:num>
  <w:num w:numId="12" w16cid:durableId="375356888">
    <w:abstractNumId w:val="17"/>
  </w:num>
  <w:num w:numId="13" w16cid:durableId="269165856">
    <w:abstractNumId w:val="16"/>
  </w:num>
  <w:num w:numId="14" w16cid:durableId="1446273141">
    <w:abstractNumId w:val="0"/>
  </w:num>
  <w:num w:numId="15" w16cid:durableId="1608000224">
    <w:abstractNumId w:val="2"/>
  </w:num>
  <w:num w:numId="16" w16cid:durableId="1802839754">
    <w:abstractNumId w:val="25"/>
  </w:num>
  <w:num w:numId="17" w16cid:durableId="19597033">
    <w:abstractNumId w:val="13"/>
  </w:num>
  <w:num w:numId="18" w16cid:durableId="1705255882">
    <w:abstractNumId w:val="3"/>
  </w:num>
  <w:num w:numId="19" w16cid:durableId="1087270297">
    <w:abstractNumId w:val="22"/>
  </w:num>
  <w:num w:numId="20" w16cid:durableId="1330014800">
    <w:abstractNumId w:val="1"/>
  </w:num>
  <w:num w:numId="21" w16cid:durableId="1877347472">
    <w:abstractNumId w:val="7"/>
  </w:num>
  <w:num w:numId="22" w16cid:durableId="175537829">
    <w:abstractNumId w:val="26"/>
  </w:num>
  <w:num w:numId="23" w16cid:durableId="1450467599">
    <w:abstractNumId w:val="24"/>
  </w:num>
  <w:num w:numId="24" w16cid:durableId="1446577406">
    <w:abstractNumId w:val="20"/>
  </w:num>
  <w:num w:numId="25" w16cid:durableId="728529346">
    <w:abstractNumId w:val="28"/>
  </w:num>
  <w:num w:numId="26" w16cid:durableId="2123725734">
    <w:abstractNumId w:val="10"/>
  </w:num>
  <w:num w:numId="27" w16cid:durableId="272900669">
    <w:abstractNumId w:val="18"/>
  </w:num>
  <w:num w:numId="28" w16cid:durableId="637683969">
    <w:abstractNumId w:val="5"/>
  </w:num>
  <w:num w:numId="29" w16cid:durableId="790366624">
    <w:abstractNumId w:val="30"/>
  </w:num>
  <w:num w:numId="30" w16cid:durableId="166556106">
    <w:abstractNumId w:val="4"/>
  </w:num>
  <w:num w:numId="31" w16cid:durableId="1550454649">
    <w:abstractNumId w:val="11"/>
  </w:num>
  <w:num w:numId="32" w16cid:durableId="3303764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0C"/>
    <w:rsid w:val="00012238"/>
    <w:rsid w:val="00041A18"/>
    <w:rsid w:val="00045BCF"/>
    <w:rsid w:val="00047D4C"/>
    <w:rsid w:val="00053386"/>
    <w:rsid w:val="00054314"/>
    <w:rsid w:val="00087E4D"/>
    <w:rsid w:val="000A75C9"/>
    <w:rsid w:val="000B1C79"/>
    <w:rsid w:val="000C6F4B"/>
    <w:rsid w:val="000D5DAB"/>
    <w:rsid w:val="000D733A"/>
    <w:rsid w:val="000E7644"/>
    <w:rsid w:val="000F1CC1"/>
    <w:rsid w:val="0011354A"/>
    <w:rsid w:val="00113C3F"/>
    <w:rsid w:val="001159AE"/>
    <w:rsid w:val="00116D46"/>
    <w:rsid w:val="0012209E"/>
    <w:rsid w:val="00127FB3"/>
    <w:rsid w:val="001342C7"/>
    <w:rsid w:val="00146ABC"/>
    <w:rsid w:val="0017328B"/>
    <w:rsid w:val="00183175"/>
    <w:rsid w:val="001A1A60"/>
    <w:rsid w:val="001B108F"/>
    <w:rsid w:val="001B3B34"/>
    <w:rsid w:val="001D0AB1"/>
    <w:rsid w:val="001E25CD"/>
    <w:rsid w:val="001E6C3D"/>
    <w:rsid w:val="001F3D6E"/>
    <w:rsid w:val="00236CAF"/>
    <w:rsid w:val="00237E5F"/>
    <w:rsid w:val="00241F98"/>
    <w:rsid w:val="002439BE"/>
    <w:rsid w:val="00254B79"/>
    <w:rsid w:val="00255540"/>
    <w:rsid w:val="002739F6"/>
    <w:rsid w:val="002A5657"/>
    <w:rsid w:val="002C7079"/>
    <w:rsid w:val="002E2814"/>
    <w:rsid w:val="002E494F"/>
    <w:rsid w:val="002E5CF2"/>
    <w:rsid w:val="002F1025"/>
    <w:rsid w:val="00323A11"/>
    <w:rsid w:val="003258E6"/>
    <w:rsid w:val="00330D6E"/>
    <w:rsid w:val="003324B1"/>
    <w:rsid w:val="00345538"/>
    <w:rsid w:val="00351E2A"/>
    <w:rsid w:val="00360936"/>
    <w:rsid w:val="00371203"/>
    <w:rsid w:val="0039181D"/>
    <w:rsid w:val="00393B78"/>
    <w:rsid w:val="003940CA"/>
    <w:rsid w:val="003A5D66"/>
    <w:rsid w:val="003A62E2"/>
    <w:rsid w:val="003A7B02"/>
    <w:rsid w:val="003B3219"/>
    <w:rsid w:val="003D7B5F"/>
    <w:rsid w:val="003E0C6C"/>
    <w:rsid w:val="003F5E6C"/>
    <w:rsid w:val="00420130"/>
    <w:rsid w:val="00437975"/>
    <w:rsid w:val="00445B9C"/>
    <w:rsid w:val="004501A4"/>
    <w:rsid w:val="0047234F"/>
    <w:rsid w:val="0047264D"/>
    <w:rsid w:val="00472F30"/>
    <w:rsid w:val="00484652"/>
    <w:rsid w:val="00495AA7"/>
    <w:rsid w:val="004A399B"/>
    <w:rsid w:val="004A5F15"/>
    <w:rsid w:val="004A72A8"/>
    <w:rsid w:val="004C3DA3"/>
    <w:rsid w:val="004C6967"/>
    <w:rsid w:val="004C7A09"/>
    <w:rsid w:val="004D468F"/>
    <w:rsid w:val="004D6BB1"/>
    <w:rsid w:val="004E6951"/>
    <w:rsid w:val="004F6B01"/>
    <w:rsid w:val="005004BD"/>
    <w:rsid w:val="00504BE0"/>
    <w:rsid w:val="00512283"/>
    <w:rsid w:val="0052709C"/>
    <w:rsid w:val="00530274"/>
    <w:rsid w:val="00587A05"/>
    <w:rsid w:val="0059167F"/>
    <w:rsid w:val="005916AB"/>
    <w:rsid w:val="005A7116"/>
    <w:rsid w:val="005C45DE"/>
    <w:rsid w:val="005E409B"/>
    <w:rsid w:val="005E5F46"/>
    <w:rsid w:val="005F37E9"/>
    <w:rsid w:val="00605EC9"/>
    <w:rsid w:val="00606C57"/>
    <w:rsid w:val="00610123"/>
    <w:rsid w:val="00642539"/>
    <w:rsid w:val="00686A5D"/>
    <w:rsid w:val="00687BFB"/>
    <w:rsid w:val="00690C58"/>
    <w:rsid w:val="006A1288"/>
    <w:rsid w:val="006A5F8A"/>
    <w:rsid w:val="006B40B6"/>
    <w:rsid w:val="006B48AE"/>
    <w:rsid w:val="006B6842"/>
    <w:rsid w:val="006B7215"/>
    <w:rsid w:val="006E275F"/>
    <w:rsid w:val="006E5D4C"/>
    <w:rsid w:val="00707483"/>
    <w:rsid w:val="00712A6D"/>
    <w:rsid w:val="007320E4"/>
    <w:rsid w:val="0073793F"/>
    <w:rsid w:val="00737AAB"/>
    <w:rsid w:val="007521FF"/>
    <w:rsid w:val="00752CC0"/>
    <w:rsid w:val="00774334"/>
    <w:rsid w:val="00782E18"/>
    <w:rsid w:val="007A0700"/>
    <w:rsid w:val="007C2629"/>
    <w:rsid w:val="007D1A53"/>
    <w:rsid w:val="007E32F2"/>
    <w:rsid w:val="007F2FE6"/>
    <w:rsid w:val="007F4F60"/>
    <w:rsid w:val="00801B4B"/>
    <w:rsid w:val="00802DCD"/>
    <w:rsid w:val="00807F65"/>
    <w:rsid w:val="00814939"/>
    <w:rsid w:val="0083567D"/>
    <w:rsid w:val="00844458"/>
    <w:rsid w:val="00851E80"/>
    <w:rsid w:val="008748DF"/>
    <w:rsid w:val="008868D2"/>
    <w:rsid w:val="008B3571"/>
    <w:rsid w:val="008B4870"/>
    <w:rsid w:val="008B648C"/>
    <w:rsid w:val="008C21DB"/>
    <w:rsid w:val="008C3AE7"/>
    <w:rsid w:val="008D160C"/>
    <w:rsid w:val="008F50C5"/>
    <w:rsid w:val="00906C87"/>
    <w:rsid w:val="00924480"/>
    <w:rsid w:val="00944D4D"/>
    <w:rsid w:val="00964FCB"/>
    <w:rsid w:val="00976834"/>
    <w:rsid w:val="00976AF5"/>
    <w:rsid w:val="00980DBD"/>
    <w:rsid w:val="009A08F3"/>
    <w:rsid w:val="009E0139"/>
    <w:rsid w:val="009F456A"/>
    <w:rsid w:val="009F79B5"/>
    <w:rsid w:val="00A03AFD"/>
    <w:rsid w:val="00A07B5B"/>
    <w:rsid w:val="00A17478"/>
    <w:rsid w:val="00A23A12"/>
    <w:rsid w:val="00A240CF"/>
    <w:rsid w:val="00A34DBF"/>
    <w:rsid w:val="00A525CC"/>
    <w:rsid w:val="00A72D38"/>
    <w:rsid w:val="00AA1FF8"/>
    <w:rsid w:val="00AC406D"/>
    <w:rsid w:val="00AD47A9"/>
    <w:rsid w:val="00B007D4"/>
    <w:rsid w:val="00B03B8E"/>
    <w:rsid w:val="00B06218"/>
    <w:rsid w:val="00B13A86"/>
    <w:rsid w:val="00B168A0"/>
    <w:rsid w:val="00B21526"/>
    <w:rsid w:val="00B224C6"/>
    <w:rsid w:val="00B235EF"/>
    <w:rsid w:val="00B3143D"/>
    <w:rsid w:val="00B3263A"/>
    <w:rsid w:val="00B33C1B"/>
    <w:rsid w:val="00B40BC6"/>
    <w:rsid w:val="00B5580E"/>
    <w:rsid w:val="00B72039"/>
    <w:rsid w:val="00B729C2"/>
    <w:rsid w:val="00B91993"/>
    <w:rsid w:val="00B947D1"/>
    <w:rsid w:val="00BA08DB"/>
    <w:rsid w:val="00BA6364"/>
    <w:rsid w:val="00BA7707"/>
    <w:rsid w:val="00BD1E88"/>
    <w:rsid w:val="00BE365A"/>
    <w:rsid w:val="00BE3CF9"/>
    <w:rsid w:val="00BE67D3"/>
    <w:rsid w:val="00C02FEA"/>
    <w:rsid w:val="00C050FF"/>
    <w:rsid w:val="00C0725E"/>
    <w:rsid w:val="00C23C31"/>
    <w:rsid w:val="00C34872"/>
    <w:rsid w:val="00C378D3"/>
    <w:rsid w:val="00C77648"/>
    <w:rsid w:val="00C8022E"/>
    <w:rsid w:val="00C81517"/>
    <w:rsid w:val="00C93884"/>
    <w:rsid w:val="00CB06DA"/>
    <w:rsid w:val="00CB17B8"/>
    <w:rsid w:val="00CE553D"/>
    <w:rsid w:val="00D00791"/>
    <w:rsid w:val="00D15BFB"/>
    <w:rsid w:val="00D21B8A"/>
    <w:rsid w:val="00D511C2"/>
    <w:rsid w:val="00D5286D"/>
    <w:rsid w:val="00D65BCC"/>
    <w:rsid w:val="00D74F39"/>
    <w:rsid w:val="00D905D4"/>
    <w:rsid w:val="00D90D00"/>
    <w:rsid w:val="00DA0870"/>
    <w:rsid w:val="00DA2BF6"/>
    <w:rsid w:val="00DC160D"/>
    <w:rsid w:val="00DC42D4"/>
    <w:rsid w:val="00DF21EC"/>
    <w:rsid w:val="00E03D45"/>
    <w:rsid w:val="00E27F24"/>
    <w:rsid w:val="00E32A0F"/>
    <w:rsid w:val="00E40020"/>
    <w:rsid w:val="00E4676D"/>
    <w:rsid w:val="00E71B49"/>
    <w:rsid w:val="00E851EB"/>
    <w:rsid w:val="00E95D7B"/>
    <w:rsid w:val="00E97189"/>
    <w:rsid w:val="00EC2DAE"/>
    <w:rsid w:val="00EC4607"/>
    <w:rsid w:val="00EC71CE"/>
    <w:rsid w:val="00EC76E1"/>
    <w:rsid w:val="00ED0299"/>
    <w:rsid w:val="00ED04F6"/>
    <w:rsid w:val="00ED55AA"/>
    <w:rsid w:val="00EF5FDB"/>
    <w:rsid w:val="00F0135C"/>
    <w:rsid w:val="00F054D0"/>
    <w:rsid w:val="00F15FCE"/>
    <w:rsid w:val="00F35949"/>
    <w:rsid w:val="00F53879"/>
    <w:rsid w:val="00F87E3B"/>
    <w:rsid w:val="00F91CFD"/>
    <w:rsid w:val="00F96A48"/>
    <w:rsid w:val="00FB060B"/>
    <w:rsid w:val="00FB2410"/>
    <w:rsid w:val="00FE00CD"/>
    <w:rsid w:val="00FF5B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9FB7A"/>
  <w15:docId w15:val="{FAE55033-962A-4971-B365-7DEE3FF1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8022E"/>
    <w:pPr>
      <w:keepNext/>
      <w:spacing w:after="0" w:line="240" w:lineRule="auto"/>
      <w:jc w:val="both"/>
      <w:outlineLvl w:val="0"/>
    </w:pPr>
    <w:rPr>
      <w:rFonts w:ascii="Times New Roman" w:eastAsia="Arial Unicode MS" w:hAnsi="Times New Roman" w:cs="Times New Roman"/>
      <w:sz w:val="24"/>
      <w:szCs w:val="20"/>
      <w:lang w:val="de-DE" w:eastAsia="hr-HR"/>
    </w:rPr>
  </w:style>
  <w:style w:type="paragraph" w:styleId="Naslov2">
    <w:name w:val="heading 2"/>
    <w:basedOn w:val="Normal"/>
    <w:next w:val="Normal"/>
    <w:link w:val="Naslov2Char"/>
    <w:qFormat/>
    <w:rsid w:val="00C8022E"/>
    <w:pPr>
      <w:keepNext/>
      <w:spacing w:after="0" w:line="240" w:lineRule="auto"/>
      <w:jc w:val="center"/>
      <w:outlineLvl w:val="1"/>
    </w:pPr>
    <w:rPr>
      <w:rFonts w:ascii="Times New Roman" w:eastAsia="Arial Unicode MS" w:hAnsi="Times New Roman" w:cs="Times New Roman"/>
      <w:b/>
      <w:sz w:val="24"/>
      <w:szCs w:val="20"/>
      <w:lang w:val="en-AU" w:eastAsia="hr-HR"/>
    </w:rPr>
  </w:style>
  <w:style w:type="paragraph" w:styleId="Naslov3">
    <w:name w:val="heading 3"/>
    <w:basedOn w:val="Normal"/>
    <w:next w:val="Normal"/>
    <w:link w:val="Naslov3Char"/>
    <w:unhideWhenUsed/>
    <w:qFormat/>
    <w:rsid w:val="00C8022E"/>
    <w:pPr>
      <w:keepNext/>
      <w:spacing w:before="240" w:after="60" w:line="240" w:lineRule="auto"/>
      <w:outlineLvl w:val="2"/>
    </w:pPr>
    <w:rPr>
      <w:rFonts w:ascii="Cambria" w:eastAsia="Times New Roman" w:hAnsi="Cambria" w:cs="Times New Roman"/>
      <w:b/>
      <w:bCs/>
      <w:sz w:val="26"/>
      <w:szCs w:val="26"/>
      <w:lang w:eastAsia="hr-HR"/>
    </w:rPr>
  </w:style>
  <w:style w:type="paragraph" w:styleId="Naslov4">
    <w:name w:val="heading 4"/>
    <w:basedOn w:val="Normal"/>
    <w:next w:val="Normal"/>
    <w:link w:val="Naslov4Char"/>
    <w:semiHidden/>
    <w:unhideWhenUsed/>
    <w:qFormat/>
    <w:rsid w:val="00C8022E"/>
    <w:pPr>
      <w:keepNext/>
      <w:spacing w:before="240" w:after="60" w:line="240" w:lineRule="auto"/>
      <w:outlineLvl w:val="3"/>
    </w:pPr>
    <w:rPr>
      <w:rFonts w:ascii="Calibri" w:eastAsia="Times New Roman" w:hAnsi="Calibri" w:cs="Times New Roman"/>
      <w:b/>
      <w:bCs/>
      <w:sz w:val="28"/>
      <w:szCs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8D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504BE0"/>
    <w:rPr>
      <w:color w:val="0563C1" w:themeColor="hyperlink"/>
      <w:u w:val="single"/>
    </w:rPr>
  </w:style>
  <w:style w:type="paragraph" w:styleId="Tijeloteksta">
    <w:name w:val="Body Text"/>
    <w:basedOn w:val="Normal"/>
    <w:link w:val="TijelotekstaChar"/>
    <w:rsid w:val="00DC42D4"/>
    <w:pPr>
      <w:spacing w:after="0" w:line="240" w:lineRule="auto"/>
      <w:ind w:right="5386"/>
      <w:jc w:val="center"/>
    </w:pPr>
    <w:rPr>
      <w:rFonts w:ascii="Times New Roman" w:eastAsia="Times New Roman" w:hAnsi="Times New Roman" w:cs="Times New Roman"/>
      <w:sz w:val="28"/>
      <w:szCs w:val="20"/>
      <w:lang w:val="en-AU" w:eastAsia="hr-HR"/>
    </w:rPr>
  </w:style>
  <w:style w:type="character" w:customStyle="1" w:styleId="TijelotekstaChar">
    <w:name w:val="Tijelo teksta Char"/>
    <w:basedOn w:val="Zadanifontodlomka"/>
    <w:link w:val="Tijeloteksta"/>
    <w:rsid w:val="00DC42D4"/>
    <w:rPr>
      <w:rFonts w:ascii="Times New Roman" w:eastAsia="Times New Roman" w:hAnsi="Times New Roman" w:cs="Times New Roman"/>
      <w:sz w:val="28"/>
      <w:szCs w:val="20"/>
      <w:lang w:val="en-AU" w:eastAsia="hr-HR"/>
    </w:rPr>
  </w:style>
  <w:style w:type="paragraph" w:styleId="StandardWeb">
    <w:name w:val="Normal (Web)"/>
    <w:basedOn w:val="Normal"/>
    <w:uiPriority w:val="99"/>
    <w:qFormat/>
    <w:rsid w:val="00B13A8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B13A86"/>
    <w:pPr>
      <w:autoSpaceDE w:val="0"/>
      <w:autoSpaceDN w:val="0"/>
      <w:adjustRightInd w:val="0"/>
      <w:spacing w:after="0" w:line="240" w:lineRule="auto"/>
    </w:pPr>
    <w:rPr>
      <w:rFonts w:ascii="Arial" w:eastAsia="Calibri" w:hAnsi="Arial" w:cs="Arial"/>
      <w:color w:val="000000"/>
      <w:sz w:val="24"/>
      <w:szCs w:val="24"/>
      <w:lang w:eastAsia="hr-HR"/>
    </w:rPr>
  </w:style>
  <w:style w:type="character" w:styleId="Naglaeno">
    <w:name w:val="Strong"/>
    <w:uiPriority w:val="22"/>
    <w:qFormat/>
    <w:rsid w:val="00B13A86"/>
    <w:rPr>
      <w:b/>
      <w:bCs/>
    </w:rPr>
  </w:style>
  <w:style w:type="paragraph" w:customStyle="1" w:styleId="box457104">
    <w:name w:val="box_457104"/>
    <w:basedOn w:val="Normal"/>
    <w:rsid w:val="00B13A8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C8022E"/>
    <w:rPr>
      <w:rFonts w:ascii="Times New Roman" w:eastAsia="Arial Unicode MS" w:hAnsi="Times New Roman" w:cs="Times New Roman"/>
      <w:sz w:val="24"/>
      <w:szCs w:val="20"/>
      <w:lang w:val="de-DE" w:eastAsia="hr-HR"/>
    </w:rPr>
  </w:style>
  <w:style w:type="character" w:customStyle="1" w:styleId="Naslov2Char">
    <w:name w:val="Naslov 2 Char"/>
    <w:basedOn w:val="Zadanifontodlomka"/>
    <w:link w:val="Naslov2"/>
    <w:rsid w:val="00C8022E"/>
    <w:rPr>
      <w:rFonts w:ascii="Times New Roman" w:eastAsia="Arial Unicode MS" w:hAnsi="Times New Roman" w:cs="Times New Roman"/>
      <w:b/>
      <w:sz w:val="24"/>
      <w:szCs w:val="20"/>
      <w:lang w:val="en-AU" w:eastAsia="hr-HR"/>
    </w:rPr>
  </w:style>
  <w:style w:type="character" w:customStyle="1" w:styleId="Naslov3Char">
    <w:name w:val="Naslov 3 Char"/>
    <w:basedOn w:val="Zadanifontodlomka"/>
    <w:link w:val="Naslov3"/>
    <w:rsid w:val="00C8022E"/>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semiHidden/>
    <w:rsid w:val="00C8022E"/>
    <w:rPr>
      <w:rFonts w:ascii="Calibri" w:eastAsia="Times New Roman" w:hAnsi="Calibri" w:cs="Times New Roman"/>
      <w:b/>
      <w:bCs/>
      <w:sz w:val="28"/>
      <w:szCs w:val="28"/>
      <w:lang w:eastAsia="hr-HR"/>
    </w:rPr>
  </w:style>
  <w:style w:type="paragraph" w:styleId="Tijeloteksta2">
    <w:name w:val="Body Text 2"/>
    <w:basedOn w:val="Normal"/>
    <w:link w:val="Tijeloteksta2Char"/>
    <w:rsid w:val="00C8022E"/>
    <w:pPr>
      <w:spacing w:after="0" w:line="240" w:lineRule="auto"/>
      <w:jc w:val="both"/>
    </w:pPr>
    <w:rPr>
      <w:rFonts w:ascii="Arial" w:eastAsia="Times New Roman" w:hAnsi="Arial" w:cs="Arial"/>
      <w:color w:val="000000"/>
      <w:sz w:val="24"/>
      <w:szCs w:val="24"/>
      <w:lang w:eastAsia="hr-HR"/>
    </w:rPr>
  </w:style>
  <w:style w:type="character" w:customStyle="1" w:styleId="Tijeloteksta2Char">
    <w:name w:val="Tijelo teksta 2 Char"/>
    <w:basedOn w:val="Zadanifontodlomka"/>
    <w:link w:val="Tijeloteksta2"/>
    <w:rsid w:val="00C8022E"/>
    <w:rPr>
      <w:rFonts w:ascii="Arial" w:eastAsia="Times New Roman" w:hAnsi="Arial" w:cs="Arial"/>
      <w:color w:val="000000"/>
      <w:sz w:val="24"/>
      <w:szCs w:val="24"/>
      <w:lang w:eastAsia="hr-HR"/>
    </w:rPr>
  </w:style>
  <w:style w:type="paragraph" w:styleId="Zaglavlje">
    <w:name w:val="header"/>
    <w:basedOn w:val="Normal"/>
    <w:link w:val="ZaglavljeChar"/>
    <w:rsid w:val="00C8022E"/>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rsid w:val="00C8022E"/>
    <w:rPr>
      <w:rFonts w:ascii="Times New Roman" w:eastAsia="Times New Roman" w:hAnsi="Times New Roman" w:cs="Times New Roman"/>
      <w:sz w:val="24"/>
      <w:szCs w:val="24"/>
      <w:lang w:eastAsia="hr-HR"/>
    </w:rPr>
  </w:style>
  <w:style w:type="paragraph" w:styleId="Podnoje">
    <w:name w:val="footer"/>
    <w:basedOn w:val="Normal"/>
    <w:link w:val="PodnojeChar"/>
    <w:uiPriority w:val="99"/>
    <w:rsid w:val="00C8022E"/>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C8022E"/>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rsid w:val="00C8022E"/>
    <w:pPr>
      <w:spacing w:after="120" w:line="240" w:lineRule="auto"/>
      <w:ind w:left="283"/>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C8022E"/>
    <w:rPr>
      <w:rFonts w:ascii="Times New Roman" w:eastAsia="Times New Roman" w:hAnsi="Times New Roman" w:cs="Times New Roman"/>
      <w:sz w:val="24"/>
      <w:szCs w:val="24"/>
      <w:lang w:eastAsia="hr-HR"/>
    </w:rPr>
  </w:style>
  <w:style w:type="paragraph" w:customStyle="1" w:styleId="doc">
    <w:name w:val="doc"/>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rsid w:val="00C8022E"/>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C8022E"/>
    <w:rPr>
      <w:rFonts w:ascii="Segoe UI" w:eastAsia="Times New Roman" w:hAnsi="Segoe UI" w:cs="Segoe UI"/>
      <w:sz w:val="18"/>
      <w:szCs w:val="18"/>
      <w:lang w:eastAsia="hr-HR"/>
    </w:rPr>
  </w:style>
  <w:style w:type="numbering" w:customStyle="1" w:styleId="Bezpopisa1">
    <w:name w:val="Bez popisa1"/>
    <w:next w:val="Bezpopisa"/>
    <w:uiPriority w:val="99"/>
    <w:semiHidden/>
    <w:unhideWhenUsed/>
    <w:rsid w:val="00C8022E"/>
  </w:style>
  <w:style w:type="character" w:styleId="Brojstranice">
    <w:name w:val="page number"/>
    <w:basedOn w:val="Zadanifontodlomka"/>
    <w:rsid w:val="00C8022E"/>
  </w:style>
  <w:style w:type="paragraph" w:customStyle="1" w:styleId="klasa2">
    <w:name w:val="klasa2"/>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0395">
    <w:name w:val="box_460395"/>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0666">
    <w:name w:val="box_460666"/>
    <w:basedOn w:val="Normal"/>
    <w:rsid w:val="00C802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link w:val="OdlomakpopisaChar"/>
    <w:uiPriority w:val="34"/>
    <w:qFormat/>
    <w:rsid w:val="004501A4"/>
    <w:pPr>
      <w:spacing w:after="200" w:line="276" w:lineRule="auto"/>
      <w:ind w:left="720"/>
      <w:contextualSpacing/>
    </w:pPr>
    <w:rPr>
      <w:rFonts w:ascii="Calibri" w:eastAsia="Calibri" w:hAnsi="Calibri" w:cs="Times New Roman"/>
      <w:lang w:val="en-US"/>
    </w:rPr>
  </w:style>
  <w:style w:type="character" w:customStyle="1" w:styleId="OdlomakpopisaChar">
    <w:name w:val="Odlomak popisa Char"/>
    <w:link w:val="Odlomakpopisa"/>
    <w:uiPriority w:val="34"/>
    <w:rsid w:val="004501A4"/>
    <w:rPr>
      <w:rFonts w:ascii="Calibri" w:eastAsia="Calibri" w:hAnsi="Calibri" w:cs="Times New Roman"/>
      <w:lang w:val="en-US"/>
    </w:rPr>
  </w:style>
  <w:style w:type="paragraph" w:customStyle="1" w:styleId="isselectedend">
    <w:name w:val="isselectedend"/>
    <w:basedOn w:val="Normal"/>
    <w:rsid w:val="00A240CF"/>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60AB-9E22-4C9E-848F-50304BDD0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1745</Words>
  <Characters>9951</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Gradska uprava Čakovec</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Hajdinjak</dc:creator>
  <cp:keywords/>
  <dc:description/>
  <cp:lastModifiedBy>Ana Varga</cp:lastModifiedBy>
  <cp:revision>6</cp:revision>
  <cp:lastPrinted>2025-09-26T10:12:00Z</cp:lastPrinted>
  <dcterms:created xsi:type="dcterms:W3CDTF">2026-07-20T10:45:00Z</dcterms:created>
  <dcterms:modified xsi:type="dcterms:W3CDTF">2026-07-20T11:48:00Z</dcterms:modified>
</cp:coreProperties>
</file>