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93BD98D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2D37E8">
              <w:rPr>
                <w:b/>
                <w:szCs w:val="24"/>
              </w:rPr>
              <w:t>OSTVARIVANJU NAKNADA I USLUGA IZ PODRUČJA SOCIJALNE SKRBI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4FA32E80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2D37E8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ostvarivanju naknada i usluga iz područja socijalne skrbi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549BF004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2D37E8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ostvarivanju naknada i usluga iz područja socijalne skrbi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3B8654E6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2D37E8">
              <w:rPr>
                <w:rFonts w:ascii="Times New Roman" w:eastAsia="Simsun (Founder Extended)" w:hAnsi="Times New Roman"/>
                <w:sz w:val="24"/>
                <w:szCs w:val="24"/>
              </w:rPr>
              <w:t>11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1B05504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2D37E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60DC36E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2D37E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D37E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2D37E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4C2EAA8E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2D37E8">
        <w:rPr>
          <w:rFonts w:ascii="Times New Roman" w:hAnsi="Times New Roman"/>
          <w:sz w:val="24"/>
          <w:szCs w:val="24"/>
        </w:rPr>
        <w:t>550-01/26-01/1</w:t>
      </w:r>
    </w:p>
    <w:p w14:paraId="256BBC44" w14:textId="2707BE1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BC0C63">
        <w:rPr>
          <w:rFonts w:ascii="Times New Roman" w:hAnsi="Times New Roman"/>
          <w:sz w:val="24"/>
          <w:szCs w:val="24"/>
        </w:rPr>
        <w:t>3</w:t>
      </w:r>
    </w:p>
    <w:p w14:paraId="01E87AA1" w14:textId="24D038C4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2D37E8">
        <w:rPr>
          <w:rFonts w:ascii="Times New Roman" w:hAnsi="Times New Roman"/>
          <w:sz w:val="24"/>
          <w:szCs w:val="24"/>
        </w:rPr>
        <w:t>7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6AE9" w14:textId="77777777" w:rsidR="009543A1" w:rsidRDefault="009543A1" w:rsidP="00115304">
      <w:pPr>
        <w:spacing w:after="0" w:line="240" w:lineRule="auto"/>
      </w:pPr>
      <w:r>
        <w:separator/>
      </w:r>
    </w:p>
  </w:endnote>
  <w:endnote w:type="continuationSeparator" w:id="0">
    <w:p w14:paraId="6BA0B6A8" w14:textId="77777777" w:rsidR="009543A1" w:rsidRDefault="009543A1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964B" w14:textId="77777777" w:rsidR="009543A1" w:rsidRDefault="009543A1" w:rsidP="00115304">
      <w:pPr>
        <w:spacing w:after="0" w:line="240" w:lineRule="auto"/>
      </w:pPr>
      <w:r>
        <w:separator/>
      </w:r>
    </w:p>
  </w:footnote>
  <w:footnote w:type="continuationSeparator" w:id="0">
    <w:p w14:paraId="4A5C9AEA" w14:textId="77777777" w:rsidR="009543A1" w:rsidRDefault="009543A1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2503"/>
    <w:rsid w:val="00167AD8"/>
    <w:rsid w:val="00176666"/>
    <w:rsid w:val="00193EF6"/>
    <w:rsid w:val="001B4A53"/>
    <w:rsid w:val="001C03EF"/>
    <w:rsid w:val="001D1E9D"/>
    <w:rsid w:val="00243BAD"/>
    <w:rsid w:val="00246C0F"/>
    <w:rsid w:val="002D0773"/>
    <w:rsid w:val="002D37E8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65B87"/>
    <w:rsid w:val="00691BE8"/>
    <w:rsid w:val="006E7805"/>
    <w:rsid w:val="006F2F3C"/>
    <w:rsid w:val="007106A2"/>
    <w:rsid w:val="00714160"/>
    <w:rsid w:val="007354ED"/>
    <w:rsid w:val="00737151"/>
    <w:rsid w:val="00751332"/>
    <w:rsid w:val="00793796"/>
    <w:rsid w:val="007F18A7"/>
    <w:rsid w:val="00807F65"/>
    <w:rsid w:val="00834364"/>
    <w:rsid w:val="00884E71"/>
    <w:rsid w:val="0089356D"/>
    <w:rsid w:val="008F118F"/>
    <w:rsid w:val="008F74D9"/>
    <w:rsid w:val="009005B4"/>
    <w:rsid w:val="009005D4"/>
    <w:rsid w:val="009069D6"/>
    <w:rsid w:val="00926EB0"/>
    <w:rsid w:val="00932AF4"/>
    <w:rsid w:val="009543A1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0C63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109</cp:revision>
  <cp:lastPrinted>2022-01-05T08:55:00Z</cp:lastPrinted>
  <dcterms:created xsi:type="dcterms:W3CDTF">2016-11-22T12:46:00Z</dcterms:created>
  <dcterms:modified xsi:type="dcterms:W3CDTF">2026-02-18T07:31:00Z</dcterms:modified>
</cp:coreProperties>
</file>