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C6D9" w14:textId="77777777" w:rsidR="00446211" w:rsidRPr="00446211" w:rsidRDefault="00446211" w:rsidP="00446211">
      <w:pPr>
        <w:rPr>
          <w:rFonts w:ascii="Arial" w:eastAsia="Arial Unicode MS" w:hAnsi="Arial" w:cs="Arial"/>
          <w:b/>
          <w:bCs/>
        </w:rPr>
      </w:pPr>
      <w:r w:rsidRPr="00446211">
        <w:rPr>
          <w:rFonts w:ascii="Arial" w:eastAsia="Arial Unicode MS" w:hAnsi="Arial" w:cs="Arial"/>
        </w:rPr>
        <w:t xml:space="preserve">                                                                                                                  </w:t>
      </w:r>
      <w:r w:rsidRPr="00446211">
        <w:rPr>
          <w:rFonts w:ascii="Arial" w:eastAsia="Arial Unicode MS" w:hAnsi="Arial" w:cs="Arial"/>
          <w:b/>
          <w:bCs/>
        </w:rPr>
        <w:t>PRIJEDLOG</w:t>
      </w:r>
    </w:p>
    <w:p w14:paraId="4CB62C05" w14:textId="77777777" w:rsidR="00446211" w:rsidRPr="00446211" w:rsidRDefault="00446211" w:rsidP="00446211">
      <w:pPr>
        <w:rPr>
          <w:rFonts w:ascii="Arial" w:eastAsia="Arial Unicode MS" w:hAnsi="Arial" w:cs="Arial"/>
          <w:b/>
          <w:bCs/>
        </w:rPr>
      </w:pPr>
    </w:p>
    <w:p w14:paraId="03C39283" w14:textId="2438185D" w:rsidR="00446211" w:rsidRPr="00446211" w:rsidRDefault="00446211" w:rsidP="00446211">
      <w:pPr>
        <w:ind w:firstLine="720"/>
        <w:jc w:val="both"/>
        <w:rPr>
          <w:rFonts w:ascii="Arial" w:hAnsi="Arial" w:cs="Arial"/>
        </w:rPr>
      </w:pPr>
      <w:r w:rsidRPr="00446211">
        <w:rPr>
          <w:rFonts w:ascii="Arial" w:hAnsi="Arial" w:cs="Arial"/>
        </w:rPr>
        <w:t xml:space="preserve">Temeljem članka </w:t>
      </w:r>
      <w:r>
        <w:rPr>
          <w:rFonts w:ascii="Arial" w:hAnsi="Arial" w:cs="Arial"/>
        </w:rPr>
        <w:t>44.</w:t>
      </w:r>
      <w:r w:rsidR="00D6475F">
        <w:rPr>
          <w:rFonts w:ascii="Arial" w:hAnsi="Arial" w:cs="Arial"/>
        </w:rPr>
        <w:t xml:space="preserve"> stavka 2. </w:t>
      </w:r>
      <w:r w:rsidRPr="00446211">
        <w:rPr>
          <w:rFonts w:ascii="Arial" w:hAnsi="Arial" w:cs="Arial"/>
        </w:rPr>
        <w:t xml:space="preserve"> Zakona o komunalnom gospodarstvu (N</w:t>
      </w:r>
      <w:r>
        <w:rPr>
          <w:rFonts w:ascii="Arial" w:hAnsi="Arial" w:cs="Arial"/>
        </w:rPr>
        <w:t>arodne novine,</w:t>
      </w:r>
      <w:r w:rsidRPr="00446211">
        <w:rPr>
          <w:rFonts w:ascii="Arial" w:hAnsi="Arial" w:cs="Arial"/>
        </w:rPr>
        <w:t xml:space="preserve"> br</w:t>
      </w:r>
      <w:r>
        <w:rPr>
          <w:rFonts w:ascii="Arial" w:hAnsi="Arial" w:cs="Arial"/>
        </w:rPr>
        <w:t xml:space="preserve">oj </w:t>
      </w:r>
      <w:r w:rsidRPr="00446211">
        <w:rPr>
          <w:rFonts w:ascii="Arial" w:hAnsi="Arial" w:cs="Arial"/>
        </w:rPr>
        <w:t>68/18, 110/18,32/20</w:t>
      </w:r>
      <w:r w:rsidR="00D6475F">
        <w:rPr>
          <w:rFonts w:ascii="Arial" w:hAnsi="Arial" w:cs="Arial"/>
        </w:rPr>
        <w:t xml:space="preserve"> i </w:t>
      </w:r>
      <w:r w:rsidRPr="00446211">
        <w:rPr>
          <w:rFonts w:ascii="Arial" w:hAnsi="Arial" w:cs="Arial"/>
        </w:rPr>
        <w:t>145/24), te članka 44. Statuta Grada Čakovca (Službeni glasnik Grada Čakovca</w:t>
      </w:r>
      <w:r>
        <w:rPr>
          <w:rFonts w:ascii="Arial" w:hAnsi="Arial" w:cs="Arial"/>
        </w:rPr>
        <w:t xml:space="preserve"> 1/21, 2/22, 6/23 i 1/25</w:t>
      </w:r>
      <w:r w:rsidRPr="00446211">
        <w:rPr>
          <w:rFonts w:ascii="Arial" w:hAnsi="Arial" w:cs="Arial"/>
        </w:rPr>
        <w:t>), Gradsko vijeće Grada Čakovca na svojoj ___. sjednici, održanoj dana _______2025. godine</w:t>
      </w:r>
      <w:r>
        <w:rPr>
          <w:rFonts w:ascii="Arial" w:hAnsi="Arial" w:cs="Arial"/>
        </w:rPr>
        <w:t xml:space="preserve"> donosi</w:t>
      </w:r>
      <w:r w:rsidRPr="00446211">
        <w:rPr>
          <w:rFonts w:ascii="Arial" w:hAnsi="Arial" w:cs="Arial"/>
        </w:rPr>
        <w:t xml:space="preserve"> </w:t>
      </w:r>
    </w:p>
    <w:p w14:paraId="00D86524" w14:textId="77777777" w:rsidR="00446211" w:rsidRPr="00446211" w:rsidRDefault="00446211" w:rsidP="00446211">
      <w:pPr>
        <w:jc w:val="both"/>
        <w:rPr>
          <w:rFonts w:ascii="Arial" w:hAnsi="Arial" w:cs="Arial"/>
        </w:rPr>
      </w:pPr>
      <w:r w:rsidRPr="00446211">
        <w:rPr>
          <w:rFonts w:ascii="Arial" w:hAnsi="Arial" w:cs="Arial"/>
        </w:rPr>
        <w:t> </w:t>
      </w:r>
    </w:p>
    <w:p w14:paraId="64DD3F5D" w14:textId="0133AE33" w:rsidR="00446211" w:rsidRPr="00446211" w:rsidRDefault="00446211" w:rsidP="0044621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46211">
        <w:rPr>
          <w:rFonts w:ascii="Arial" w:hAnsi="Arial" w:cs="Arial"/>
          <w:b/>
          <w:bCs/>
          <w:sz w:val="28"/>
          <w:szCs w:val="28"/>
        </w:rPr>
        <w:t>O   D   L   U   K   U</w:t>
      </w:r>
    </w:p>
    <w:p w14:paraId="16D4CADC" w14:textId="77777777" w:rsidR="00446211" w:rsidRPr="00446211" w:rsidRDefault="00446211" w:rsidP="00446211">
      <w:pPr>
        <w:rPr>
          <w:rFonts w:ascii="Arial" w:hAnsi="Arial" w:cs="Arial"/>
        </w:rPr>
      </w:pPr>
    </w:p>
    <w:p w14:paraId="7C7723A6" w14:textId="5C5A8252" w:rsidR="00446211" w:rsidRPr="00446211" w:rsidRDefault="008F57FD" w:rsidP="00446211">
      <w:pPr>
        <w:jc w:val="center"/>
        <w:rPr>
          <w:rFonts w:ascii="Arial" w:hAnsi="Arial" w:cs="Arial"/>
          <w:b/>
        </w:rPr>
      </w:pPr>
      <w:r w:rsidRPr="00446211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dopunama Odluke</w:t>
      </w:r>
      <w:r w:rsidRPr="00446211">
        <w:rPr>
          <w:rFonts w:ascii="Arial" w:hAnsi="Arial" w:cs="Arial"/>
          <w:b/>
        </w:rPr>
        <w:t xml:space="preserve"> o obavljanju dimnjačarskih poslova</w:t>
      </w:r>
    </w:p>
    <w:p w14:paraId="019F8D52" w14:textId="0126E634" w:rsidR="00446211" w:rsidRPr="00446211" w:rsidRDefault="008F57FD" w:rsidP="00446211">
      <w:pPr>
        <w:jc w:val="both"/>
        <w:rPr>
          <w:rFonts w:ascii="Arial" w:hAnsi="Arial" w:cs="Arial"/>
        </w:rPr>
      </w:pPr>
      <w:r w:rsidRPr="00446211">
        <w:rPr>
          <w:rFonts w:ascii="Arial" w:hAnsi="Arial" w:cs="Arial"/>
        </w:rPr>
        <w:t> </w:t>
      </w:r>
    </w:p>
    <w:p w14:paraId="328A9AEB" w14:textId="77777777" w:rsidR="00446211" w:rsidRPr="008F57FD" w:rsidRDefault="00446211" w:rsidP="00446211">
      <w:pPr>
        <w:pStyle w:val="Tijeloteksta"/>
        <w:jc w:val="center"/>
        <w:rPr>
          <w:b/>
          <w:bCs/>
          <w:sz w:val="24"/>
        </w:rPr>
      </w:pPr>
      <w:r w:rsidRPr="008F57FD">
        <w:rPr>
          <w:b/>
          <w:bCs/>
          <w:sz w:val="24"/>
        </w:rPr>
        <w:t>Članak 1.</w:t>
      </w:r>
    </w:p>
    <w:p w14:paraId="0A660037" w14:textId="77777777" w:rsidR="00446211" w:rsidRPr="00446211" w:rsidRDefault="00446211" w:rsidP="00446211">
      <w:pPr>
        <w:jc w:val="both"/>
        <w:rPr>
          <w:rFonts w:ascii="Arial" w:hAnsi="Arial" w:cs="Arial"/>
        </w:rPr>
      </w:pPr>
    </w:p>
    <w:p w14:paraId="06230577" w14:textId="747F3EFB" w:rsidR="00446211" w:rsidRPr="00446211" w:rsidRDefault="00446211" w:rsidP="00446211">
      <w:pPr>
        <w:jc w:val="both"/>
        <w:rPr>
          <w:rFonts w:ascii="Arial" w:hAnsi="Arial" w:cs="Arial"/>
        </w:rPr>
      </w:pPr>
      <w:r w:rsidRPr="00446211">
        <w:rPr>
          <w:rFonts w:ascii="Arial" w:hAnsi="Arial" w:cs="Arial"/>
        </w:rPr>
        <w:t xml:space="preserve"> </w:t>
      </w:r>
      <w:r w:rsidRPr="00446211">
        <w:rPr>
          <w:rFonts w:ascii="Arial" w:hAnsi="Arial" w:cs="Arial"/>
        </w:rPr>
        <w:tab/>
        <w:t>U</w:t>
      </w:r>
      <w:r w:rsidR="008F57FD">
        <w:rPr>
          <w:rFonts w:ascii="Arial" w:hAnsi="Arial" w:cs="Arial"/>
        </w:rPr>
        <w:t xml:space="preserve"> Odluci o obavljanju dimnjačarskih poslova (Službeni glasnik Grada Čakovca 5/15, 2/16, 4/18, 2/19 i 8/22) u</w:t>
      </w:r>
      <w:r w:rsidRPr="00446211">
        <w:rPr>
          <w:rFonts w:ascii="Arial" w:hAnsi="Arial" w:cs="Arial"/>
        </w:rPr>
        <w:t xml:space="preserve"> članku 16. iza stavka </w:t>
      </w:r>
      <w:r w:rsidR="008F57FD">
        <w:rPr>
          <w:rFonts w:ascii="Arial" w:hAnsi="Arial" w:cs="Arial"/>
        </w:rPr>
        <w:t>5</w:t>
      </w:r>
      <w:r w:rsidRPr="00446211">
        <w:rPr>
          <w:rFonts w:ascii="Arial" w:hAnsi="Arial" w:cs="Arial"/>
        </w:rPr>
        <w:t>. dodaj</w:t>
      </w:r>
      <w:r w:rsidR="008F57FD">
        <w:rPr>
          <w:rFonts w:ascii="Arial" w:hAnsi="Arial" w:cs="Arial"/>
        </w:rPr>
        <w:t xml:space="preserve">u se novi stavci 6. i 7. </w:t>
      </w:r>
      <w:r w:rsidRPr="00446211">
        <w:rPr>
          <w:rFonts w:ascii="Arial" w:hAnsi="Arial" w:cs="Arial"/>
        </w:rPr>
        <w:t>koji glas</w:t>
      </w:r>
      <w:r w:rsidR="008F57FD">
        <w:rPr>
          <w:rFonts w:ascii="Arial" w:hAnsi="Arial" w:cs="Arial"/>
        </w:rPr>
        <w:t>e:</w:t>
      </w:r>
    </w:p>
    <w:p w14:paraId="089564A6" w14:textId="77777777" w:rsidR="00446211" w:rsidRPr="00446211" w:rsidRDefault="00446211" w:rsidP="00446211">
      <w:pPr>
        <w:jc w:val="both"/>
        <w:rPr>
          <w:rFonts w:ascii="Arial" w:hAnsi="Arial" w:cs="Arial"/>
        </w:rPr>
      </w:pPr>
    </w:p>
    <w:p w14:paraId="6642F38B" w14:textId="71D9A1AE" w:rsidR="00446211" w:rsidRPr="00446211" w:rsidRDefault="008F57FD" w:rsidP="008F57F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„K</w:t>
      </w:r>
      <w:r w:rsidR="00446211" w:rsidRPr="00446211">
        <w:rPr>
          <w:rFonts w:ascii="Arial" w:hAnsi="Arial" w:cs="Arial"/>
        </w:rPr>
        <w:t>orisnik usluge dužan je obavijestiti ovlaštenog dimnjačara o početku uporabe dimovodnog objekta koji nije bio upotrebljavan ili je na ve</w:t>
      </w:r>
      <w:r>
        <w:rPr>
          <w:rFonts w:ascii="Arial" w:hAnsi="Arial" w:cs="Arial"/>
        </w:rPr>
        <w:t>ć</w:t>
      </w:r>
      <w:r w:rsidR="00446211" w:rsidRPr="00446211">
        <w:rPr>
          <w:rFonts w:ascii="Arial" w:hAnsi="Arial" w:cs="Arial"/>
        </w:rPr>
        <w:t xml:space="preserve"> upotrebljavanom dimovodnom objektu izvršen određeni zahvat sa priključenjem uređaja za loženje te za isti ishoditi pozitivni dimnjačarski nalaz (A-test)</w:t>
      </w:r>
      <w:r>
        <w:rPr>
          <w:rFonts w:ascii="Arial" w:hAnsi="Arial" w:cs="Arial"/>
        </w:rPr>
        <w:t>.</w:t>
      </w:r>
    </w:p>
    <w:p w14:paraId="0A353258" w14:textId="44EF41B9" w:rsidR="00446211" w:rsidRPr="00446211" w:rsidRDefault="008F57FD" w:rsidP="008F57F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46211" w:rsidRPr="00446211">
        <w:rPr>
          <w:rFonts w:ascii="Arial" w:hAnsi="Arial" w:cs="Arial"/>
        </w:rPr>
        <w:t>orisnik usluge – vlasnik dimovodnog objekta, odgovoran je za posljedice koje mogu nastupiti neispunjavanjem obveze iz prethodnog stavka.</w:t>
      </w:r>
      <w:r w:rsidR="00D6475F">
        <w:rPr>
          <w:rFonts w:ascii="Arial" w:hAnsi="Arial" w:cs="Arial"/>
        </w:rPr>
        <w:t>“</w:t>
      </w:r>
    </w:p>
    <w:p w14:paraId="35D915FD" w14:textId="77777777" w:rsidR="00446211" w:rsidRPr="00446211" w:rsidRDefault="00446211" w:rsidP="00446211">
      <w:pPr>
        <w:pStyle w:val="Tijeloteksta"/>
        <w:jc w:val="center"/>
        <w:rPr>
          <w:sz w:val="24"/>
        </w:rPr>
      </w:pPr>
    </w:p>
    <w:p w14:paraId="642D5157" w14:textId="77777777" w:rsidR="00446211" w:rsidRPr="008F57FD" w:rsidRDefault="00446211" w:rsidP="00446211">
      <w:pPr>
        <w:pStyle w:val="Tijeloteksta"/>
        <w:jc w:val="center"/>
        <w:rPr>
          <w:b/>
          <w:bCs/>
          <w:sz w:val="24"/>
        </w:rPr>
      </w:pPr>
      <w:r w:rsidRPr="008F57FD">
        <w:rPr>
          <w:b/>
          <w:bCs/>
          <w:sz w:val="24"/>
        </w:rPr>
        <w:t>Članak 2.</w:t>
      </w:r>
    </w:p>
    <w:p w14:paraId="39966CEB" w14:textId="77777777" w:rsidR="00446211" w:rsidRPr="00446211" w:rsidRDefault="00446211" w:rsidP="00446211">
      <w:pPr>
        <w:jc w:val="center"/>
        <w:rPr>
          <w:rFonts w:ascii="Arial" w:hAnsi="Arial" w:cs="Arial"/>
        </w:rPr>
      </w:pPr>
    </w:p>
    <w:p w14:paraId="5ADD45F1" w14:textId="77777777" w:rsidR="00446211" w:rsidRPr="00446211" w:rsidRDefault="00446211" w:rsidP="00446211">
      <w:pPr>
        <w:ind w:firstLine="708"/>
        <w:jc w:val="both"/>
        <w:rPr>
          <w:rFonts w:ascii="Arial" w:hAnsi="Arial" w:cs="Arial"/>
        </w:rPr>
      </w:pPr>
      <w:r w:rsidRPr="00446211">
        <w:rPr>
          <w:rFonts w:ascii="Arial" w:hAnsi="Arial" w:cs="Arial"/>
        </w:rPr>
        <w:t>Ostale odredbe Odluke o obavljanju dimnjačarskih poslova ostaju na snazi.</w:t>
      </w:r>
    </w:p>
    <w:p w14:paraId="75D10ED5" w14:textId="77777777" w:rsidR="00446211" w:rsidRPr="00446211" w:rsidRDefault="00446211" w:rsidP="00446211">
      <w:pPr>
        <w:ind w:firstLine="708"/>
        <w:jc w:val="both"/>
        <w:rPr>
          <w:rFonts w:ascii="Arial" w:hAnsi="Arial" w:cs="Arial"/>
        </w:rPr>
      </w:pPr>
    </w:p>
    <w:p w14:paraId="7032EAE0" w14:textId="77777777" w:rsidR="00446211" w:rsidRPr="008F57FD" w:rsidRDefault="00446211" w:rsidP="00446211">
      <w:pPr>
        <w:jc w:val="center"/>
        <w:rPr>
          <w:rFonts w:ascii="Arial" w:hAnsi="Arial" w:cs="Arial"/>
          <w:b/>
          <w:bCs/>
        </w:rPr>
      </w:pPr>
      <w:r w:rsidRPr="008F57FD">
        <w:rPr>
          <w:rFonts w:ascii="Arial" w:hAnsi="Arial" w:cs="Arial"/>
          <w:b/>
          <w:bCs/>
        </w:rPr>
        <w:t>Članak 3.</w:t>
      </w:r>
    </w:p>
    <w:p w14:paraId="6C6989FC" w14:textId="77777777" w:rsidR="00446211" w:rsidRPr="00446211" w:rsidRDefault="00446211" w:rsidP="00446211">
      <w:pPr>
        <w:jc w:val="center"/>
        <w:rPr>
          <w:rFonts w:ascii="Arial" w:hAnsi="Arial" w:cs="Arial"/>
        </w:rPr>
      </w:pPr>
    </w:p>
    <w:p w14:paraId="27DF7711" w14:textId="4C25D8AA" w:rsidR="00446211" w:rsidRPr="00446211" w:rsidRDefault="00446211" w:rsidP="00446211">
      <w:pPr>
        <w:pStyle w:val="Tijeloteksta"/>
        <w:rPr>
          <w:sz w:val="24"/>
        </w:rPr>
      </w:pPr>
      <w:r w:rsidRPr="00446211">
        <w:rPr>
          <w:sz w:val="24"/>
        </w:rPr>
        <w:tab/>
        <w:t>Ova Odluka stupa na snagu osmog dana od dana objave u Službenom glasniku</w:t>
      </w:r>
      <w:r w:rsidR="008F57FD">
        <w:rPr>
          <w:sz w:val="24"/>
        </w:rPr>
        <w:t xml:space="preserve"> Grada Čakovca. </w:t>
      </w:r>
    </w:p>
    <w:p w14:paraId="42E79E05" w14:textId="77777777" w:rsidR="00446211" w:rsidRPr="00446211" w:rsidRDefault="00446211" w:rsidP="00446211">
      <w:pPr>
        <w:rPr>
          <w:rFonts w:ascii="Arial" w:hAnsi="Arial" w:cs="Arial"/>
        </w:rPr>
      </w:pPr>
    </w:p>
    <w:p w14:paraId="77E71223" w14:textId="415130C9" w:rsidR="008F57FD" w:rsidRPr="00446211" w:rsidRDefault="008F57FD" w:rsidP="008F57FD">
      <w:pPr>
        <w:rPr>
          <w:rFonts w:ascii="Arial" w:hAnsi="Arial" w:cs="Arial"/>
        </w:rPr>
      </w:pPr>
      <w:r w:rsidRPr="00446211">
        <w:rPr>
          <w:rFonts w:ascii="Arial" w:hAnsi="Arial" w:cs="Arial"/>
        </w:rPr>
        <w:t>KLASA:</w:t>
      </w:r>
      <w:r w:rsidR="004C4A06">
        <w:rPr>
          <w:rFonts w:ascii="Arial" w:hAnsi="Arial" w:cs="Arial"/>
        </w:rPr>
        <w:t xml:space="preserve"> 363-04/25-01/23</w:t>
      </w:r>
    </w:p>
    <w:p w14:paraId="4FCA3BFB" w14:textId="61E5A752" w:rsidR="008F57FD" w:rsidRPr="00446211" w:rsidRDefault="008F57FD" w:rsidP="008F57FD">
      <w:pPr>
        <w:rPr>
          <w:rFonts w:ascii="Arial" w:hAnsi="Arial" w:cs="Arial"/>
        </w:rPr>
      </w:pPr>
      <w:r w:rsidRPr="00446211">
        <w:rPr>
          <w:rFonts w:ascii="Arial" w:hAnsi="Arial" w:cs="Arial"/>
        </w:rPr>
        <w:t>U</w:t>
      </w:r>
      <w:r>
        <w:rPr>
          <w:rFonts w:ascii="Arial" w:hAnsi="Arial" w:cs="Arial"/>
        </w:rPr>
        <w:t>RBROJ: 2109-2-02-25-0</w:t>
      </w:r>
      <w:r w:rsidR="004C4A0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</w:p>
    <w:p w14:paraId="1C6BED85" w14:textId="4402EA4C" w:rsidR="008F57FD" w:rsidRPr="00446211" w:rsidRDefault="008F57FD" w:rsidP="008F57FD">
      <w:pPr>
        <w:rPr>
          <w:rFonts w:ascii="Arial" w:hAnsi="Arial" w:cs="Arial"/>
        </w:rPr>
      </w:pPr>
      <w:r w:rsidRPr="00446211">
        <w:rPr>
          <w:rFonts w:ascii="Arial" w:hAnsi="Arial" w:cs="Arial"/>
        </w:rPr>
        <w:t xml:space="preserve">Čakovec, </w:t>
      </w:r>
      <w:r>
        <w:rPr>
          <w:rFonts w:ascii="Arial" w:hAnsi="Arial" w:cs="Arial"/>
        </w:rPr>
        <w:t xml:space="preserve">___________ </w:t>
      </w:r>
      <w:r w:rsidRPr="00446211">
        <w:rPr>
          <w:rFonts w:ascii="Arial" w:hAnsi="Arial" w:cs="Arial"/>
        </w:rPr>
        <w:t>2025.</w:t>
      </w:r>
    </w:p>
    <w:p w14:paraId="4AA5ED4C" w14:textId="77777777" w:rsidR="00446211" w:rsidRPr="00446211" w:rsidRDefault="00446211" w:rsidP="00446211">
      <w:pPr>
        <w:rPr>
          <w:rFonts w:ascii="Arial" w:hAnsi="Arial" w:cs="Arial"/>
        </w:rPr>
      </w:pPr>
    </w:p>
    <w:p w14:paraId="5A8D6163" w14:textId="77777777" w:rsidR="00446211" w:rsidRPr="004C4A06" w:rsidRDefault="00446211" w:rsidP="008F57FD">
      <w:pPr>
        <w:pStyle w:val="Naslov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C4A06">
        <w:rPr>
          <w:rFonts w:ascii="Arial" w:hAnsi="Arial" w:cs="Arial"/>
          <w:b/>
          <w:color w:val="auto"/>
          <w:sz w:val="24"/>
          <w:szCs w:val="24"/>
        </w:rPr>
        <w:t>O b r a z l o ž e n j e</w:t>
      </w:r>
    </w:p>
    <w:p w14:paraId="7CDDF890" w14:textId="77777777" w:rsidR="00446211" w:rsidRPr="00446211" w:rsidRDefault="00446211" w:rsidP="00446211">
      <w:pPr>
        <w:jc w:val="both"/>
        <w:rPr>
          <w:rFonts w:ascii="Arial" w:hAnsi="Arial" w:cs="Arial"/>
        </w:rPr>
      </w:pPr>
      <w:r w:rsidRPr="00446211">
        <w:rPr>
          <w:rFonts w:ascii="Arial" w:hAnsi="Arial" w:cs="Arial"/>
        </w:rPr>
        <w:t> </w:t>
      </w:r>
    </w:p>
    <w:p w14:paraId="6A95B834" w14:textId="0979AACD" w:rsidR="00446211" w:rsidRDefault="00446211" w:rsidP="00EB6521">
      <w:pPr>
        <w:ind w:firstLine="708"/>
        <w:jc w:val="both"/>
        <w:rPr>
          <w:rFonts w:ascii="Arial" w:hAnsi="Arial" w:cs="Arial"/>
          <w:iCs/>
        </w:rPr>
      </w:pPr>
      <w:r w:rsidRPr="008F57FD">
        <w:rPr>
          <w:rFonts w:ascii="Arial" w:hAnsi="Arial" w:cs="Arial"/>
          <w:iCs/>
        </w:rPr>
        <w:t>Radi povećanja sigurnosti a vezano uz omogućavanja kontrole koju provode dimnjačari iz članka 16. i 24. Odluke o obavljanju dimnjačarskih poslova, obvezno je vršiti nadzor i kontrolu a po potrebi čistiti dimovodne objekte koji se stalno ne upotrebljavaju i na koje nisu priključeni uređaji za loženje, odnosno na istima se vrše preinake koje mogu dovesti do posljedica opasnih po život i zdravlje ljudi.</w:t>
      </w:r>
    </w:p>
    <w:p w14:paraId="32950515" w14:textId="6B42C046" w:rsidR="00EB6521" w:rsidRDefault="00EB6521" w:rsidP="00EB652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3B2C27">
        <w:rPr>
          <w:rFonts w:ascii="Arial" w:hAnsi="Arial" w:cs="Arial"/>
          <w:iCs/>
        </w:rPr>
        <w:t>Navedena odredba koja se predlaže ovim dopunama također ima uporišta i u članku 38. Zakona o zaštiti od požara koji propisuje da su v</w:t>
      </w:r>
      <w:r w:rsidR="003B2C27" w:rsidRPr="003B2C27">
        <w:rPr>
          <w:rFonts w:ascii="Arial" w:hAnsi="Arial" w:cs="Arial"/>
          <w:iCs/>
        </w:rPr>
        <w:t xml:space="preserve">lasnici, odnosno korisnici građevina, građevinskih dijelova i drugih nekretnina te prostora, odnosno upravitelji zgrada dužni sukladno propisima, tehničkim normativima, normama i uputama </w:t>
      </w:r>
      <w:r w:rsidR="003B2C27" w:rsidRPr="003B2C27">
        <w:rPr>
          <w:rFonts w:ascii="Arial" w:hAnsi="Arial" w:cs="Arial"/>
          <w:iCs/>
        </w:rPr>
        <w:lastRenderedPageBreak/>
        <w:t>proizvođača održavati u ispravnom stanju postrojenja, uređaje i instalacije električne, plinske, ventilacijske i druge namjene, dimnjake i ložišta, kao i druge uređaje i instalacije, koji mogu prouzročiti nastajanje i širenje požara te o održavanju moraju posjedovati dokumentaciju.</w:t>
      </w:r>
      <w:r w:rsidR="003B2C27">
        <w:rPr>
          <w:rFonts w:ascii="Arial" w:hAnsi="Arial" w:cs="Arial"/>
          <w:iCs/>
        </w:rPr>
        <w:t xml:space="preserve"> </w:t>
      </w:r>
    </w:p>
    <w:p w14:paraId="6EB36C72" w14:textId="6D4C08E6" w:rsidR="003B2C27" w:rsidRDefault="003B2C27" w:rsidP="00EB652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Obzirom na navedeno p</w:t>
      </w:r>
      <w:r w:rsidRPr="003B2C27">
        <w:rPr>
          <w:rFonts w:ascii="Arial" w:hAnsi="Arial" w:cs="Arial"/>
          <w:iCs/>
        </w:rPr>
        <w:t>redlažem Gradskom vijeću Grada Čakovca donošenje predočene Odluke.</w:t>
      </w:r>
    </w:p>
    <w:p w14:paraId="2AC0EB80" w14:textId="77777777" w:rsidR="003B2C27" w:rsidRDefault="003B2C27" w:rsidP="00EB6521">
      <w:pPr>
        <w:jc w:val="both"/>
        <w:rPr>
          <w:rFonts w:ascii="Arial" w:hAnsi="Arial" w:cs="Arial"/>
          <w:iCs/>
        </w:rPr>
      </w:pPr>
    </w:p>
    <w:p w14:paraId="0AC1C7D5" w14:textId="471BF47F" w:rsidR="003B2C27" w:rsidRDefault="003B2C27" w:rsidP="00EB652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04F23F1D" w14:textId="77777777" w:rsidR="00EB6521" w:rsidRPr="008F57FD" w:rsidRDefault="00EB6521" w:rsidP="00EB6521">
      <w:pPr>
        <w:ind w:firstLine="708"/>
        <w:jc w:val="both"/>
        <w:rPr>
          <w:rFonts w:ascii="Arial" w:hAnsi="Arial" w:cs="Arial"/>
          <w:iCs/>
        </w:rPr>
      </w:pPr>
    </w:p>
    <w:p w14:paraId="0CC88187" w14:textId="1B9A3D9C" w:rsidR="00446211" w:rsidRPr="008F57FD" w:rsidRDefault="00446211" w:rsidP="008F57FD">
      <w:pPr>
        <w:jc w:val="both"/>
        <w:rPr>
          <w:rFonts w:ascii="Arial" w:hAnsi="Arial" w:cs="Arial"/>
          <w:iCs/>
        </w:rPr>
      </w:pPr>
    </w:p>
    <w:p w14:paraId="031DDB55" w14:textId="77777777" w:rsidR="00446211" w:rsidRPr="00446211" w:rsidRDefault="00446211" w:rsidP="00446211">
      <w:pPr>
        <w:jc w:val="both"/>
        <w:rPr>
          <w:rFonts w:ascii="Arial" w:hAnsi="Arial" w:cs="Arial"/>
        </w:rPr>
      </w:pPr>
      <w:r w:rsidRPr="00446211">
        <w:rPr>
          <w:rFonts w:ascii="Arial" w:hAnsi="Arial" w:cs="Arial"/>
        </w:rPr>
        <w:t>  </w:t>
      </w:r>
    </w:p>
    <w:p w14:paraId="25872CD4" w14:textId="44B13301" w:rsidR="00446211" w:rsidRPr="004C4A06" w:rsidRDefault="00446211" w:rsidP="00446211">
      <w:pPr>
        <w:pStyle w:val="Naslov2"/>
        <w:ind w:left="4248" w:firstLine="708"/>
        <w:rPr>
          <w:rFonts w:ascii="Arial" w:hAnsi="Arial" w:cs="Arial"/>
          <w:b/>
          <w:bCs/>
          <w:color w:val="auto"/>
          <w:sz w:val="24"/>
          <w:szCs w:val="24"/>
        </w:rPr>
      </w:pPr>
      <w:r w:rsidRPr="004C4A06">
        <w:rPr>
          <w:rFonts w:ascii="Arial" w:hAnsi="Arial" w:cs="Arial"/>
          <w:b/>
          <w:bCs/>
          <w:color w:val="auto"/>
          <w:sz w:val="24"/>
          <w:szCs w:val="24"/>
        </w:rPr>
        <w:t>GRADONAČELNICA</w:t>
      </w:r>
    </w:p>
    <w:p w14:paraId="4DCF8713" w14:textId="5CFE9763" w:rsidR="00446211" w:rsidRPr="00446211" w:rsidRDefault="00446211" w:rsidP="004C4A06">
      <w:pPr>
        <w:ind w:left="3540"/>
        <w:rPr>
          <w:rFonts w:ascii="Arial" w:hAnsi="Arial" w:cs="Arial"/>
        </w:rPr>
      </w:pPr>
      <w:r w:rsidRPr="00446211">
        <w:rPr>
          <w:rFonts w:ascii="Arial" w:hAnsi="Arial" w:cs="Arial"/>
        </w:rPr>
        <w:t xml:space="preserve">Ljerka </w:t>
      </w:r>
      <w:proofErr w:type="spellStart"/>
      <w:r w:rsidRPr="00446211">
        <w:rPr>
          <w:rFonts w:ascii="Arial" w:hAnsi="Arial" w:cs="Arial"/>
        </w:rPr>
        <w:t>Cividini</w:t>
      </w:r>
      <w:proofErr w:type="spellEnd"/>
      <w:r w:rsidRPr="00446211">
        <w:rPr>
          <w:rFonts w:ascii="Arial" w:hAnsi="Arial" w:cs="Arial"/>
        </w:rPr>
        <w:t xml:space="preserve">, </w:t>
      </w:r>
      <w:proofErr w:type="spellStart"/>
      <w:r w:rsidRPr="00446211">
        <w:rPr>
          <w:rFonts w:ascii="Arial" w:hAnsi="Arial" w:cs="Arial"/>
        </w:rPr>
        <w:t>mag.ing.traff</w:t>
      </w:r>
      <w:proofErr w:type="spellEnd"/>
      <w:r w:rsidRPr="00446211">
        <w:rPr>
          <w:rFonts w:ascii="Arial" w:hAnsi="Arial" w:cs="Arial"/>
        </w:rPr>
        <w:t>./</w:t>
      </w:r>
      <w:proofErr w:type="spellStart"/>
      <w:r w:rsidRPr="00446211">
        <w:rPr>
          <w:rFonts w:ascii="Arial" w:hAnsi="Arial" w:cs="Arial"/>
        </w:rPr>
        <w:t>univ.spec.oec</w:t>
      </w:r>
      <w:proofErr w:type="spellEnd"/>
      <w:r w:rsidR="004C4A06">
        <w:rPr>
          <w:rFonts w:ascii="Arial" w:hAnsi="Arial" w:cs="Arial"/>
        </w:rPr>
        <w:t>., v.r.</w:t>
      </w:r>
    </w:p>
    <w:p w14:paraId="4B300FEA" w14:textId="77777777" w:rsidR="00B91144" w:rsidRPr="00446211" w:rsidRDefault="00B91144">
      <w:pPr>
        <w:rPr>
          <w:rFonts w:ascii="Arial" w:hAnsi="Arial" w:cs="Arial"/>
        </w:rPr>
      </w:pPr>
    </w:p>
    <w:sectPr w:rsidR="00B91144" w:rsidRPr="00446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E1578"/>
    <w:multiLevelType w:val="hybridMultilevel"/>
    <w:tmpl w:val="36D25F58"/>
    <w:lvl w:ilvl="0" w:tplc="A3D49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5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1E"/>
    <w:rsid w:val="0016346A"/>
    <w:rsid w:val="00200164"/>
    <w:rsid w:val="003B2C27"/>
    <w:rsid w:val="00446211"/>
    <w:rsid w:val="00485E7A"/>
    <w:rsid w:val="004A447B"/>
    <w:rsid w:val="004C4A06"/>
    <w:rsid w:val="004F4B10"/>
    <w:rsid w:val="00722874"/>
    <w:rsid w:val="00880A92"/>
    <w:rsid w:val="008F57FD"/>
    <w:rsid w:val="00B91144"/>
    <w:rsid w:val="00BA7697"/>
    <w:rsid w:val="00D6475F"/>
    <w:rsid w:val="00DF501E"/>
    <w:rsid w:val="00E554E5"/>
    <w:rsid w:val="00E923F8"/>
    <w:rsid w:val="00EB6521"/>
    <w:rsid w:val="00EC7D8A"/>
    <w:rsid w:val="00F1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B12A"/>
  <w15:chartTrackingRefBased/>
  <w15:docId w15:val="{DEDEB789-6BBC-4F7F-AB42-94701A6B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DF5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F5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5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5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5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5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5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5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5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F5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semiHidden/>
    <w:rsid w:val="00DF5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F5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F50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F50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F50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F50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F50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F50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5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5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5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F5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5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F50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F50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F50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F5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F50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F501E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446211"/>
    <w:pPr>
      <w:jc w:val="both"/>
    </w:pPr>
    <w:rPr>
      <w:rFonts w:ascii="Arial" w:hAnsi="Arial" w:cs="Arial"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446211"/>
    <w:rPr>
      <w:rFonts w:ascii="Arial" w:eastAsia="Times New Roman" w:hAnsi="Arial" w:cs="Arial"/>
      <w:kern w:val="0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5</cp:revision>
  <dcterms:created xsi:type="dcterms:W3CDTF">2025-10-24T12:22:00Z</dcterms:created>
  <dcterms:modified xsi:type="dcterms:W3CDTF">2025-10-29T13:51:00Z</dcterms:modified>
</cp:coreProperties>
</file>