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10207" w:type="dxa"/>
        <w:tblInd w:w="-601" w:type="dxa"/>
        <w:tblLook w:val="04A0" w:firstRow="1" w:lastRow="0" w:firstColumn="1" w:lastColumn="0" w:noHBand="0" w:noVBand="1"/>
      </w:tblPr>
      <w:tblGrid>
        <w:gridCol w:w="5214"/>
        <w:gridCol w:w="4993"/>
      </w:tblGrid>
      <w:tr w:rsidR="008D160C" w:rsidRPr="00ED0299" w14:paraId="24CCAE51" w14:textId="77777777" w:rsidTr="00E97189">
        <w:trPr>
          <w:trHeight w:val="504"/>
        </w:trPr>
        <w:tc>
          <w:tcPr>
            <w:tcW w:w="10207" w:type="dxa"/>
            <w:gridSpan w:val="2"/>
            <w:vAlign w:val="center"/>
          </w:tcPr>
          <w:p w14:paraId="0DF5ABCE" w14:textId="77777777" w:rsidR="008D160C" w:rsidRPr="00ED0299" w:rsidRDefault="008D160C" w:rsidP="008D160C">
            <w:pPr>
              <w:jc w:val="center"/>
              <w:rPr>
                <w:rFonts w:ascii="Arial" w:hAnsi="Arial" w:cs="Arial"/>
                <w:b/>
                <w:sz w:val="24"/>
                <w:szCs w:val="24"/>
              </w:rPr>
            </w:pPr>
            <w:r w:rsidRPr="00ED0299">
              <w:rPr>
                <w:rFonts w:ascii="Arial" w:hAnsi="Arial" w:cs="Arial"/>
                <w:b/>
                <w:sz w:val="24"/>
                <w:szCs w:val="24"/>
              </w:rPr>
              <w:t>DOKUMENT ZA INTERNETSKO SAVJETOVANJE O NACRTU OPĆEG AKTA</w:t>
            </w:r>
          </w:p>
        </w:tc>
      </w:tr>
      <w:tr w:rsidR="008D160C" w:rsidRPr="00ED0299" w14:paraId="59B6AA0D" w14:textId="77777777" w:rsidTr="000E1D6F">
        <w:trPr>
          <w:trHeight w:val="604"/>
        </w:trPr>
        <w:tc>
          <w:tcPr>
            <w:tcW w:w="10207" w:type="dxa"/>
            <w:gridSpan w:val="2"/>
            <w:vAlign w:val="center"/>
          </w:tcPr>
          <w:p w14:paraId="7923490E" w14:textId="3A394A98" w:rsidR="008D160C" w:rsidRPr="00ED0299" w:rsidRDefault="001D0AB1" w:rsidP="001367C2">
            <w:pPr>
              <w:spacing w:after="160" w:line="259" w:lineRule="auto"/>
              <w:jc w:val="center"/>
              <w:rPr>
                <w:rFonts w:ascii="Arial" w:hAnsi="Arial" w:cs="Arial"/>
                <w:b/>
                <w:sz w:val="24"/>
                <w:szCs w:val="24"/>
              </w:rPr>
            </w:pPr>
            <w:r w:rsidRPr="000E1D6F">
              <w:rPr>
                <w:rFonts w:ascii="Arial" w:hAnsi="Arial" w:cs="Arial"/>
                <w:b/>
                <w:sz w:val="24"/>
                <w:szCs w:val="24"/>
              </w:rPr>
              <w:t xml:space="preserve">Nacrt prijedloga </w:t>
            </w:r>
            <w:r w:rsidR="00A23C31">
              <w:rPr>
                <w:rFonts w:ascii="Arial" w:hAnsi="Arial" w:cs="Arial"/>
                <w:b/>
                <w:sz w:val="24"/>
                <w:szCs w:val="24"/>
              </w:rPr>
              <w:t xml:space="preserve">Odluke o </w:t>
            </w:r>
            <w:r w:rsidR="001C612E">
              <w:rPr>
                <w:rFonts w:ascii="Arial" w:hAnsi="Arial" w:cs="Arial"/>
                <w:b/>
                <w:sz w:val="24"/>
                <w:szCs w:val="24"/>
              </w:rPr>
              <w:t>sufinanciranju drugih obrazovnih materijala za školsku godinu 2024./2025.</w:t>
            </w:r>
          </w:p>
        </w:tc>
      </w:tr>
      <w:tr w:rsidR="008D160C" w:rsidRPr="00ED0299" w14:paraId="373352E1" w14:textId="77777777" w:rsidTr="00E97189">
        <w:trPr>
          <w:trHeight w:val="613"/>
        </w:trPr>
        <w:tc>
          <w:tcPr>
            <w:tcW w:w="10207" w:type="dxa"/>
            <w:gridSpan w:val="2"/>
            <w:vAlign w:val="center"/>
          </w:tcPr>
          <w:p w14:paraId="4FA69A40" w14:textId="77777777" w:rsidR="008D160C" w:rsidRPr="00ED0299" w:rsidRDefault="008D160C" w:rsidP="008D160C">
            <w:pPr>
              <w:jc w:val="center"/>
              <w:rPr>
                <w:rFonts w:ascii="Arial" w:hAnsi="Arial" w:cs="Arial"/>
                <w:b/>
                <w:sz w:val="24"/>
                <w:szCs w:val="24"/>
              </w:rPr>
            </w:pPr>
            <w:r w:rsidRPr="00ED0299">
              <w:rPr>
                <w:rFonts w:ascii="Arial" w:hAnsi="Arial" w:cs="Arial"/>
                <w:b/>
                <w:sz w:val="24"/>
                <w:szCs w:val="24"/>
              </w:rPr>
              <w:t>GRAD ČAKOVEC</w:t>
            </w:r>
          </w:p>
          <w:p w14:paraId="457867CF" w14:textId="1818C91D" w:rsidR="008D160C" w:rsidRPr="00ED0299" w:rsidRDefault="00DA0870" w:rsidP="00814939">
            <w:pPr>
              <w:jc w:val="center"/>
              <w:rPr>
                <w:rFonts w:ascii="Arial" w:hAnsi="Arial" w:cs="Arial"/>
                <w:sz w:val="24"/>
                <w:szCs w:val="24"/>
              </w:rPr>
            </w:pPr>
            <w:r w:rsidRPr="00ED0299">
              <w:rPr>
                <w:rFonts w:ascii="Arial" w:hAnsi="Arial" w:cs="Arial"/>
                <w:b/>
                <w:sz w:val="24"/>
                <w:szCs w:val="24"/>
              </w:rPr>
              <w:t>Upravni odjel za</w:t>
            </w:r>
            <w:r w:rsidR="00BE365A" w:rsidRPr="00ED0299">
              <w:rPr>
                <w:rFonts w:ascii="Arial" w:hAnsi="Arial" w:cs="Arial"/>
                <w:b/>
                <w:sz w:val="24"/>
                <w:szCs w:val="24"/>
              </w:rPr>
              <w:t xml:space="preserve"> </w:t>
            </w:r>
            <w:r w:rsidR="00A23C31">
              <w:rPr>
                <w:rFonts w:ascii="Arial" w:hAnsi="Arial" w:cs="Arial"/>
                <w:b/>
                <w:sz w:val="24"/>
                <w:szCs w:val="24"/>
              </w:rPr>
              <w:t>društvene djelatnosti</w:t>
            </w:r>
          </w:p>
        </w:tc>
      </w:tr>
      <w:tr w:rsidR="008D160C" w:rsidRPr="00ED0299" w14:paraId="5E25AF4C" w14:textId="77777777" w:rsidTr="00E97189">
        <w:trPr>
          <w:trHeight w:val="759"/>
        </w:trPr>
        <w:tc>
          <w:tcPr>
            <w:tcW w:w="5214" w:type="dxa"/>
            <w:vAlign w:val="center"/>
          </w:tcPr>
          <w:p w14:paraId="46FF640B" w14:textId="77777777" w:rsidR="008D160C" w:rsidRPr="00ED0299" w:rsidRDefault="008D160C" w:rsidP="008D160C">
            <w:pPr>
              <w:jc w:val="center"/>
              <w:rPr>
                <w:rFonts w:ascii="Arial" w:hAnsi="Arial" w:cs="Arial"/>
                <w:b/>
                <w:sz w:val="24"/>
                <w:szCs w:val="24"/>
                <w:u w:val="single"/>
              </w:rPr>
            </w:pPr>
            <w:r w:rsidRPr="00ED0299">
              <w:rPr>
                <w:rFonts w:ascii="Arial" w:hAnsi="Arial" w:cs="Arial"/>
                <w:b/>
                <w:sz w:val="24"/>
                <w:szCs w:val="24"/>
                <w:u w:val="single"/>
              </w:rPr>
              <w:t>Početak savjetovanja</w:t>
            </w:r>
          </w:p>
          <w:p w14:paraId="4EADDFD3" w14:textId="762DEE87" w:rsidR="008D160C" w:rsidRPr="00ED0299" w:rsidRDefault="00A23C31" w:rsidP="00DA0870">
            <w:pPr>
              <w:jc w:val="center"/>
              <w:rPr>
                <w:rFonts w:ascii="Arial" w:hAnsi="Arial" w:cs="Arial"/>
                <w:b/>
                <w:sz w:val="24"/>
                <w:szCs w:val="24"/>
              </w:rPr>
            </w:pPr>
            <w:r>
              <w:rPr>
                <w:rFonts w:ascii="Arial" w:hAnsi="Arial" w:cs="Arial"/>
                <w:b/>
                <w:sz w:val="24"/>
                <w:szCs w:val="24"/>
              </w:rPr>
              <w:t>1</w:t>
            </w:r>
            <w:r w:rsidR="001C612E">
              <w:rPr>
                <w:rFonts w:ascii="Arial" w:hAnsi="Arial" w:cs="Arial"/>
                <w:b/>
                <w:sz w:val="24"/>
                <w:szCs w:val="24"/>
              </w:rPr>
              <w:t>7</w:t>
            </w:r>
            <w:r w:rsidR="006B48AE" w:rsidRPr="00ED0299">
              <w:rPr>
                <w:rFonts w:ascii="Arial" w:hAnsi="Arial" w:cs="Arial"/>
                <w:b/>
                <w:sz w:val="24"/>
                <w:szCs w:val="24"/>
              </w:rPr>
              <w:t>.</w:t>
            </w:r>
            <w:r w:rsidR="00686A5D" w:rsidRPr="00ED0299">
              <w:rPr>
                <w:rFonts w:ascii="Arial" w:hAnsi="Arial" w:cs="Arial"/>
                <w:b/>
                <w:sz w:val="24"/>
                <w:szCs w:val="24"/>
              </w:rPr>
              <w:t xml:space="preserve"> </w:t>
            </w:r>
            <w:r w:rsidR="0035335D">
              <w:rPr>
                <w:rFonts w:ascii="Arial" w:hAnsi="Arial" w:cs="Arial"/>
                <w:b/>
                <w:sz w:val="24"/>
                <w:szCs w:val="24"/>
              </w:rPr>
              <w:t>svibnja</w:t>
            </w:r>
            <w:r w:rsidR="00924480" w:rsidRPr="00ED0299">
              <w:rPr>
                <w:rFonts w:ascii="Arial" w:hAnsi="Arial" w:cs="Arial"/>
                <w:b/>
                <w:sz w:val="24"/>
                <w:szCs w:val="24"/>
              </w:rPr>
              <w:t xml:space="preserve"> 202</w:t>
            </w:r>
            <w:r w:rsidR="0011495C">
              <w:rPr>
                <w:rFonts w:ascii="Arial" w:hAnsi="Arial" w:cs="Arial"/>
                <w:b/>
                <w:sz w:val="24"/>
                <w:szCs w:val="24"/>
              </w:rPr>
              <w:t>4</w:t>
            </w:r>
            <w:r w:rsidR="00924480" w:rsidRPr="00ED0299">
              <w:rPr>
                <w:rFonts w:ascii="Arial" w:hAnsi="Arial" w:cs="Arial"/>
                <w:b/>
                <w:sz w:val="24"/>
                <w:szCs w:val="24"/>
              </w:rPr>
              <w:t xml:space="preserve">. </w:t>
            </w:r>
          </w:p>
        </w:tc>
        <w:tc>
          <w:tcPr>
            <w:tcW w:w="4993" w:type="dxa"/>
            <w:vAlign w:val="center"/>
          </w:tcPr>
          <w:p w14:paraId="7F7075B8" w14:textId="77777777" w:rsidR="008D160C" w:rsidRPr="00ED0299" w:rsidRDefault="008D160C" w:rsidP="008D160C">
            <w:pPr>
              <w:jc w:val="center"/>
              <w:rPr>
                <w:rFonts w:ascii="Arial" w:hAnsi="Arial" w:cs="Arial"/>
                <w:b/>
                <w:sz w:val="24"/>
                <w:szCs w:val="24"/>
                <w:u w:val="single"/>
              </w:rPr>
            </w:pPr>
            <w:r w:rsidRPr="00ED0299">
              <w:rPr>
                <w:rFonts w:ascii="Arial" w:hAnsi="Arial" w:cs="Arial"/>
                <w:b/>
                <w:sz w:val="24"/>
                <w:szCs w:val="24"/>
                <w:u w:val="single"/>
              </w:rPr>
              <w:t>Završetak savjetovanja</w:t>
            </w:r>
          </w:p>
          <w:p w14:paraId="18610C68" w14:textId="1DE5AEAE" w:rsidR="008D160C" w:rsidRPr="00ED0299" w:rsidRDefault="001C612E" w:rsidP="00DA0870">
            <w:pPr>
              <w:jc w:val="center"/>
              <w:rPr>
                <w:rFonts w:ascii="Arial" w:hAnsi="Arial" w:cs="Arial"/>
                <w:b/>
                <w:sz w:val="24"/>
                <w:szCs w:val="24"/>
              </w:rPr>
            </w:pPr>
            <w:r>
              <w:rPr>
                <w:rFonts w:ascii="Arial" w:hAnsi="Arial" w:cs="Arial"/>
                <w:b/>
                <w:sz w:val="24"/>
                <w:szCs w:val="24"/>
              </w:rPr>
              <w:t>17</w:t>
            </w:r>
            <w:r w:rsidR="00FB2410" w:rsidRPr="00ED0299">
              <w:rPr>
                <w:rFonts w:ascii="Arial" w:hAnsi="Arial" w:cs="Arial"/>
                <w:b/>
                <w:sz w:val="24"/>
                <w:szCs w:val="24"/>
              </w:rPr>
              <w:t xml:space="preserve">. </w:t>
            </w:r>
            <w:r w:rsidR="0035335D">
              <w:rPr>
                <w:rFonts w:ascii="Arial" w:hAnsi="Arial" w:cs="Arial"/>
                <w:b/>
                <w:sz w:val="24"/>
                <w:szCs w:val="24"/>
              </w:rPr>
              <w:t>lipnja</w:t>
            </w:r>
            <w:r w:rsidR="00924480" w:rsidRPr="00ED0299">
              <w:rPr>
                <w:rFonts w:ascii="Arial" w:hAnsi="Arial" w:cs="Arial"/>
                <w:b/>
                <w:sz w:val="24"/>
                <w:szCs w:val="24"/>
              </w:rPr>
              <w:t xml:space="preserve"> 202</w:t>
            </w:r>
            <w:r w:rsidR="0011495C">
              <w:rPr>
                <w:rFonts w:ascii="Arial" w:hAnsi="Arial" w:cs="Arial"/>
                <w:b/>
                <w:sz w:val="24"/>
                <w:szCs w:val="24"/>
              </w:rPr>
              <w:t>4</w:t>
            </w:r>
            <w:r w:rsidR="00924480" w:rsidRPr="00ED0299">
              <w:rPr>
                <w:rFonts w:ascii="Arial" w:hAnsi="Arial" w:cs="Arial"/>
                <w:b/>
                <w:sz w:val="24"/>
                <w:szCs w:val="24"/>
              </w:rPr>
              <w:t xml:space="preserve">. </w:t>
            </w:r>
          </w:p>
        </w:tc>
      </w:tr>
      <w:tr w:rsidR="008D160C" w:rsidRPr="00ED0299" w14:paraId="5B7E750B" w14:textId="77777777" w:rsidTr="00E97189">
        <w:trPr>
          <w:trHeight w:val="493"/>
        </w:trPr>
        <w:tc>
          <w:tcPr>
            <w:tcW w:w="10207" w:type="dxa"/>
            <w:gridSpan w:val="2"/>
            <w:vAlign w:val="center"/>
          </w:tcPr>
          <w:p w14:paraId="66C2D551" w14:textId="6312FAB3" w:rsidR="008D160C" w:rsidRPr="00A23C31" w:rsidRDefault="008D160C" w:rsidP="008D160C">
            <w:pPr>
              <w:jc w:val="center"/>
              <w:rPr>
                <w:rFonts w:ascii="Arial" w:hAnsi="Arial" w:cs="Arial"/>
                <w:b/>
                <w:sz w:val="24"/>
                <w:szCs w:val="24"/>
              </w:rPr>
            </w:pPr>
          </w:p>
        </w:tc>
      </w:tr>
      <w:tr w:rsidR="008D160C" w:rsidRPr="00ED0299" w14:paraId="25F57092" w14:textId="77777777" w:rsidTr="00E97189">
        <w:trPr>
          <w:trHeight w:val="1095"/>
        </w:trPr>
        <w:tc>
          <w:tcPr>
            <w:tcW w:w="10207" w:type="dxa"/>
            <w:gridSpan w:val="2"/>
          </w:tcPr>
          <w:p w14:paraId="4CBA7180" w14:textId="77777777" w:rsidR="001C612E" w:rsidRPr="001C612E" w:rsidRDefault="001C612E" w:rsidP="001C612E">
            <w:pPr>
              <w:spacing w:line="264" w:lineRule="auto"/>
              <w:ind w:firstLine="708"/>
              <w:jc w:val="both"/>
              <w:rPr>
                <w:rFonts w:ascii="Arial" w:hAnsi="Arial" w:cs="Arial"/>
                <w:bCs/>
                <w:color w:val="000000" w:themeColor="text1"/>
                <w:sz w:val="24"/>
                <w:szCs w:val="24"/>
              </w:rPr>
            </w:pPr>
            <w:r w:rsidRPr="001C612E">
              <w:rPr>
                <w:rFonts w:ascii="Arial" w:hAnsi="Arial" w:cs="Arial"/>
                <w:bCs/>
                <w:color w:val="000000" w:themeColor="text1"/>
                <w:sz w:val="24"/>
                <w:szCs w:val="24"/>
              </w:rPr>
              <w:t xml:space="preserve">Zakon o udžbenicima i drugim obrazovnim materijalima za osnovnu i srednju školu (Narodne novine broj 116/2018, 85/2022) člankom 14. st. 1. propisuje da se sredstva za nabavu udžbenika za učenike osnovnih škola osiguravaju u državnom proračunu. </w:t>
            </w:r>
          </w:p>
          <w:p w14:paraId="27A10F46" w14:textId="77777777" w:rsidR="001C612E" w:rsidRPr="001C612E" w:rsidRDefault="001C612E" w:rsidP="001C612E">
            <w:pPr>
              <w:spacing w:line="264" w:lineRule="auto"/>
              <w:ind w:firstLine="708"/>
              <w:jc w:val="both"/>
              <w:rPr>
                <w:rFonts w:ascii="Arial" w:hAnsi="Arial" w:cs="Arial"/>
                <w:bCs/>
                <w:color w:val="000000" w:themeColor="text1"/>
                <w:sz w:val="24"/>
                <w:szCs w:val="24"/>
              </w:rPr>
            </w:pPr>
            <w:r w:rsidRPr="001C612E">
              <w:rPr>
                <w:rFonts w:ascii="Arial" w:hAnsi="Arial" w:cs="Arial"/>
                <w:bCs/>
                <w:color w:val="000000" w:themeColor="text1"/>
                <w:sz w:val="24"/>
                <w:szCs w:val="24"/>
              </w:rPr>
              <w:t xml:space="preserve">Osim udžbenika, učenici su u svakodnevnom odgojno-obrazovnom radu obvezni koristiti druge obrazovne materijale, tj. radne bilježnice, zbirke zadataka, likovne mape i druga pomoćna nastavna sredstva, što mnogim roditeljima predstavlja značajne financijske troškove prije početka svake školske godine. </w:t>
            </w:r>
          </w:p>
          <w:p w14:paraId="68D3A6C0" w14:textId="77777777" w:rsidR="001C612E" w:rsidRPr="001C612E" w:rsidRDefault="001C612E" w:rsidP="001C612E">
            <w:pPr>
              <w:spacing w:line="264" w:lineRule="auto"/>
              <w:ind w:firstLine="708"/>
              <w:jc w:val="both"/>
              <w:rPr>
                <w:rFonts w:ascii="Arial" w:hAnsi="Arial" w:cs="Arial"/>
                <w:bCs/>
                <w:color w:val="000000" w:themeColor="text1"/>
                <w:sz w:val="24"/>
                <w:szCs w:val="24"/>
              </w:rPr>
            </w:pPr>
            <w:r w:rsidRPr="001C612E">
              <w:rPr>
                <w:rFonts w:ascii="Arial" w:hAnsi="Arial" w:cs="Arial"/>
                <w:bCs/>
                <w:color w:val="000000" w:themeColor="text1"/>
                <w:sz w:val="24"/>
                <w:szCs w:val="24"/>
              </w:rPr>
              <w:t>Repozitorij odobrenih drugih obrazovnih materijala objavljuje Agencija za odgoj i obrazovanje na svojim internetskim stranicama (</w:t>
            </w:r>
            <w:hyperlink r:id="rId6" w:history="1">
              <w:r w:rsidRPr="001C612E">
                <w:rPr>
                  <w:rStyle w:val="Hiperveza"/>
                  <w:rFonts w:ascii="Arial" w:hAnsi="Arial" w:cs="Arial"/>
                  <w:bCs/>
                  <w:sz w:val="24"/>
                  <w:szCs w:val="24"/>
                </w:rPr>
                <w:t>https://www.azoo.hr/drugi-obrazovni-materijali-arhiva/agencija-za-odgoj-i-obrazovanje-objavljuje-katalog-odobrenih-drugih-obrazovnih-materijala/</w:t>
              </w:r>
            </w:hyperlink>
            <w:r w:rsidRPr="001C612E">
              <w:rPr>
                <w:rFonts w:ascii="Arial" w:hAnsi="Arial" w:cs="Arial"/>
                <w:bCs/>
                <w:sz w:val="24"/>
                <w:szCs w:val="24"/>
              </w:rPr>
              <w:t xml:space="preserve"> </w:t>
            </w:r>
            <w:r w:rsidRPr="001C612E">
              <w:rPr>
                <w:rFonts w:ascii="Arial" w:hAnsi="Arial" w:cs="Arial"/>
                <w:bCs/>
                <w:color w:val="000000" w:themeColor="text1"/>
                <w:sz w:val="24"/>
                <w:szCs w:val="24"/>
              </w:rPr>
              <w:t>), a osnovne su škole dužne, temeljem članka 16. st. 6. prethodno spomenutog Zakona, do 15. srpnja donijeti i na svojim mrežnim stranicama objaviti odluke o korištenju komercijalnih drugih obrazovnih materijala.</w:t>
            </w:r>
          </w:p>
          <w:p w14:paraId="1AB1080B" w14:textId="77777777" w:rsidR="001C612E" w:rsidRPr="001C612E" w:rsidRDefault="001C612E" w:rsidP="001C612E">
            <w:pPr>
              <w:spacing w:line="264" w:lineRule="auto"/>
              <w:ind w:firstLine="708"/>
              <w:jc w:val="both"/>
              <w:rPr>
                <w:rFonts w:ascii="Arial" w:hAnsi="Arial" w:cs="Arial"/>
                <w:bCs/>
                <w:color w:val="000000" w:themeColor="text1"/>
                <w:sz w:val="24"/>
                <w:szCs w:val="24"/>
              </w:rPr>
            </w:pPr>
            <w:r w:rsidRPr="001C612E">
              <w:rPr>
                <w:rFonts w:ascii="Arial" w:hAnsi="Arial" w:cs="Arial"/>
                <w:bCs/>
                <w:color w:val="000000" w:themeColor="text1"/>
                <w:sz w:val="24"/>
                <w:szCs w:val="24"/>
              </w:rPr>
              <w:t xml:space="preserve">U cilju olakšavanja financijske situacije i osiguravanja što boljeg pedagoškog standarda za svoje građane, predlaže se donošenje Odluke o sufinanciranju drugih obrazovnih materijala za školsku godinu 2024./2025. </w:t>
            </w:r>
          </w:p>
          <w:p w14:paraId="13FE8307" w14:textId="44DB0006" w:rsidR="008C21DB" w:rsidRPr="00A23C31" w:rsidRDefault="001C612E" w:rsidP="001C612E">
            <w:pPr>
              <w:spacing w:line="264" w:lineRule="auto"/>
              <w:ind w:firstLine="708"/>
              <w:jc w:val="both"/>
              <w:rPr>
                <w:rFonts w:ascii="Arial" w:hAnsi="Arial" w:cs="Arial"/>
                <w:sz w:val="24"/>
                <w:szCs w:val="24"/>
                <w:lang w:eastAsia="zh-CN"/>
              </w:rPr>
            </w:pPr>
            <w:r w:rsidRPr="001C612E">
              <w:rPr>
                <w:rFonts w:ascii="Arial" w:hAnsi="Arial" w:cs="Arial"/>
                <w:bCs/>
                <w:color w:val="000000" w:themeColor="text1"/>
                <w:sz w:val="24"/>
                <w:szCs w:val="24"/>
              </w:rPr>
              <w:t>U skladu s predloženom Odlukom svim bi se učenicima osnovnih škola koji imaju prebivalište na području Grada Čakovca sufinancirala nabava drugih obrazovnih materijala koje su osnovne škole objavile na svojim internetskim stranicama. Predloženi iznosi sufinanciranja po učeniku uvećani su za 33 % u odnosu na školsku godinu 2023./2024.</w:t>
            </w:r>
            <w:r>
              <w:rPr>
                <w:rFonts w:ascii="Arial" w:hAnsi="Arial" w:cs="Arial"/>
                <w:bCs/>
                <w:color w:val="000000" w:themeColor="text1"/>
              </w:rPr>
              <w:t xml:space="preserve"> </w:t>
            </w:r>
          </w:p>
        </w:tc>
      </w:tr>
    </w:tbl>
    <w:p w14:paraId="53EC6063" w14:textId="77777777" w:rsidR="00964FCB" w:rsidRPr="00ED0299" w:rsidRDefault="00964FCB" w:rsidP="00964FCB">
      <w:pPr>
        <w:spacing w:after="0" w:line="240" w:lineRule="auto"/>
        <w:jc w:val="both"/>
        <w:rPr>
          <w:rFonts w:ascii="Arial" w:hAnsi="Arial" w:cs="Arial"/>
          <w:sz w:val="24"/>
          <w:szCs w:val="24"/>
        </w:rPr>
      </w:pPr>
    </w:p>
    <w:p w14:paraId="51DD2425" w14:textId="455D76A1" w:rsidR="005C45DE" w:rsidRPr="001C612E" w:rsidRDefault="00504BE0" w:rsidP="00E97189">
      <w:pPr>
        <w:spacing w:after="0" w:line="240" w:lineRule="auto"/>
        <w:ind w:left="-709"/>
        <w:jc w:val="both"/>
        <w:rPr>
          <w:rFonts w:ascii="Arial" w:hAnsi="Arial" w:cs="Arial"/>
          <w:bCs/>
          <w:sz w:val="24"/>
          <w:szCs w:val="24"/>
        </w:rPr>
      </w:pPr>
      <w:r w:rsidRPr="00ED0299">
        <w:rPr>
          <w:rFonts w:ascii="Arial" w:hAnsi="Arial" w:cs="Arial"/>
          <w:sz w:val="24"/>
          <w:szCs w:val="24"/>
        </w:rPr>
        <w:t>Pozivamo predstavnike zainteresi</w:t>
      </w:r>
      <w:r w:rsidR="00445B9C" w:rsidRPr="00ED0299">
        <w:rPr>
          <w:rFonts w:ascii="Arial" w:hAnsi="Arial" w:cs="Arial"/>
          <w:sz w:val="24"/>
          <w:szCs w:val="24"/>
        </w:rPr>
        <w:t xml:space="preserve">rane javnosti da najkasnije do </w:t>
      </w:r>
      <w:r w:rsidR="001C612E">
        <w:rPr>
          <w:rFonts w:ascii="Arial" w:hAnsi="Arial" w:cs="Arial"/>
          <w:sz w:val="24"/>
          <w:szCs w:val="24"/>
        </w:rPr>
        <w:t>17</w:t>
      </w:r>
      <w:r w:rsidR="00FB2410" w:rsidRPr="00ED0299">
        <w:rPr>
          <w:rFonts w:ascii="Arial" w:hAnsi="Arial" w:cs="Arial"/>
          <w:sz w:val="24"/>
          <w:szCs w:val="24"/>
        </w:rPr>
        <w:t xml:space="preserve">. </w:t>
      </w:r>
      <w:r w:rsidR="0035335D">
        <w:rPr>
          <w:rFonts w:ascii="Arial" w:hAnsi="Arial" w:cs="Arial"/>
          <w:sz w:val="24"/>
          <w:szCs w:val="24"/>
        </w:rPr>
        <w:t>lipnja</w:t>
      </w:r>
      <w:r w:rsidR="00B224C6" w:rsidRPr="00ED0299">
        <w:rPr>
          <w:rFonts w:ascii="Arial" w:hAnsi="Arial" w:cs="Arial"/>
          <w:sz w:val="24"/>
          <w:szCs w:val="24"/>
        </w:rPr>
        <w:t xml:space="preserve"> </w:t>
      </w:r>
      <w:r w:rsidR="00360936" w:rsidRPr="00ED0299">
        <w:rPr>
          <w:rFonts w:ascii="Arial" w:hAnsi="Arial" w:cs="Arial"/>
          <w:sz w:val="24"/>
          <w:szCs w:val="24"/>
        </w:rPr>
        <w:t>20</w:t>
      </w:r>
      <w:r w:rsidR="005A7116" w:rsidRPr="00ED0299">
        <w:rPr>
          <w:rFonts w:ascii="Arial" w:hAnsi="Arial" w:cs="Arial"/>
          <w:sz w:val="24"/>
          <w:szCs w:val="24"/>
        </w:rPr>
        <w:t>2</w:t>
      </w:r>
      <w:r w:rsidR="0011495C">
        <w:rPr>
          <w:rFonts w:ascii="Arial" w:hAnsi="Arial" w:cs="Arial"/>
          <w:sz w:val="24"/>
          <w:szCs w:val="24"/>
        </w:rPr>
        <w:t>4</w:t>
      </w:r>
      <w:r w:rsidRPr="00ED0299">
        <w:rPr>
          <w:rFonts w:ascii="Arial" w:hAnsi="Arial" w:cs="Arial"/>
          <w:sz w:val="24"/>
          <w:szCs w:val="24"/>
        </w:rPr>
        <w:t>. dostave svoje komentare na nacrt</w:t>
      </w:r>
      <w:r w:rsidR="00B168A0" w:rsidRPr="00ED0299">
        <w:rPr>
          <w:rFonts w:ascii="Arial" w:hAnsi="Arial" w:cs="Arial"/>
          <w:sz w:val="24"/>
          <w:szCs w:val="24"/>
        </w:rPr>
        <w:t xml:space="preserve"> prijedloga</w:t>
      </w:r>
      <w:r w:rsidR="0035335D">
        <w:rPr>
          <w:rFonts w:ascii="Arial" w:hAnsi="Arial" w:cs="Arial"/>
          <w:sz w:val="24"/>
          <w:szCs w:val="24"/>
        </w:rPr>
        <w:t xml:space="preserve"> </w:t>
      </w:r>
      <w:r w:rsidR="00A23C31">
        <w:rPr>
          <w:rFonts w:ascii="Arial" w:hAnsi="Arial" w:cs="Arial"/>
          <w:sz w:val="24"/>
          <w:szCs w:val="24"/>
        </w:rPr>
        <w:t xml:space="preserve">Odluke o </w:t>
      </w:r>
      <w:r w:rsidR="001C612E" w:rsidRPr="001C612E">
        <w:rPr>
          <w:rFonts w:ascii="Arial" w:hAnsi="Arial" w:cs="Arial"/>
          <w:bCs/>
          <w:sz w:val="24"/>
          <w:szCs w:val="24"/>
        </w:rPr>
        <w:t>sufinanciranju drugih obrazovnih materijala za školsku godinu 2024./2025.</w:t>
      </w:r>
    </w:p>
    <w:p w14:paraId="23999A8A" w14:textId="77777777" w:rsidR="00686A5D" w:rsidRPr="00ED0299" w:rsidRDefault="00686A5D" w:rsidP="00E97189">
      <w:pPr>
        <w:spacing w:after="0" w:line="240" w:lineRule="auto"/>
        <w:ind w:left="-709"/>
        <w:jc w:val="both"/>
        <w:rPr>
          <w:rFonts w:ascii="Arial" w:hAnsi="Arial" w:cs="Arial"/>
          <w:b/>
          <w:sz w:val="24"/>
          <w:szCs w:val="24"/>
        </w:rPr>
      </w:pPr>
    </w:p>
    <w:p w14:paraId="03023D9D" w14:textId="77777777" w:rsidR="00EC71CE" w:rsidRPr="00ED0299" w:rsidRDefault="00504BE0" w:rsidP="0012209E">
      <w:pPr>
        <w:spacing w:after="0" w:line="240" w:lineRule="auto"/>
        <w:ind w:left="-709"/>
        <w:jc w:val="both"/>
        <w:rPr>
          <w:rFonts w:ascii="Arial" w:hAnsi="Arial" w:cs="Arial"/>
          <w:b/>
          <w:sz w:val="24"/>
          <w:szCs w:val="24"/>
        </w:rPr>
      </w:pPr>
      <w:r w:rsidRPr="00ED0299">
        <w:rPr>
          <w:rFonts w:ascii="Arial" w:hAnsi="Arial" w:cs="Arial"/>
          <w:sz w:val="24"/>
          <w:szCs w:val="24"/>
        </w:rPr>
        <w:t>Po završetku sav</w:t>
      </w:r>
      <w:r w:rsidR="004D6BB1" w:rsidRPr="00ED0299">
        <w:rPr>
          <w:rFonts w:ascii="Arial" w:hAnsi="Arial" w:cs="Arial"/>
          <w:sz w:val="24"/>
          <w:szCs w:val="24"/>
        </w:rPr>
        <w:t>jetovanja svi pristigli doprinos</w:t>
      </w:r>
      <w:r w:rsidRPr="00ED0299">
        <w:rPr>
          <w:rFonts w:ascii="Arial" w:hAnsi="Arial" w:cs="Arial"/>
          <w:sz w:val="24"/>
          <w:szCs w:val="24"/>
        </w:rPr>
        <w:t>i bit će javno dostupni na internetskoj stranici Grada Čakovca.</w:t>
      </w:r>
    </w:p>
    <w:p w14:paraId="08024FBC" w14:textId="77777777" w:rsidR="00EC71CE" w:rsidRPr="00ED0299" w:rsidRDefault="00EC71CE" w:rsidP="00E97189">
      <w:pPr>
        <w:spacing w:after="0" w:line="240" w:lineRule="auto"/>
        <w:ind w:left="-709"/>
        <w:jc w:val="both"/>
        <w:rPr>
          <w:rFonts w:ascii="Arial" w:hAnsi="Arial" w:cs="Arial"/>
          <w:b/>
          <w:sz w:val="24"/>
          <w:szCs w:val="24"/>
        </w:rPr>
      </w:pPr>
    </w:p>
    <w:p w14:paraId="5BB98C68" w14:textId="77777777" w:rsidR="00E97189" w:rsidRPr="00ED0299" w:rsidRDefault="00504BE0" w:rsidP="00E97189">
      <w:pPr>
        <w:spacing w:after="0" w:line="240" w:lineRule="auto"/>
        <w:ind w:left="-709"/>
        <w:jc w:val="both"/>
        <w:rPr>
          <w:rFonts w:ascii="Arial" w:hAnsi="Arial" w:cs="Arial"/>
          <w:b/>
          <w:sz w:val="24"/>
          <w:szCs w:val="24"/>
        </w:rPr>
      </w:pPr>
      <w:r w:rsidRPr="00ED0299">
        <w:rPr>
          <w:rFonts w:ascii="Arial" w:hAnsi="Arial" w:cs="Arial"/>
          <w:sz w:val="24"/>
          <w:szCs w:val="24"/>
        </w:rPr>
        <w:t>Ukoliko ne želite da Vaš doprinos bude javno objavljen, molimo Vas da to jasno istaknete pri dostavi obrasca.</w:t>
      </w:r>
    </w:p>
    <w:p w14:paraId="283C3CD8" w14:textId="0713B5BA" w:rsidR="005E409B" w:rsidRPr="001C612E" w:rsidRDefault="00504BE0" w:rsidP="005E409B">
      <w:pPr>
        <w:spacing w:after="0" w:line="240" w:lineRule="auto"/>
        <w:ind w:left="-709"/>
        <w:jc w:val="both"/>
        <w:rPr>
          <w:rFonts w:ascii="Arial" w:hAnsi="Arial" w:cs="Arial"/>
          <w:bCs/>
          <w:i/>
          <w:iCs/>
          <w:sz w:val="24"/>
          <w:szCs w:val="24"/>
        </w:rPr>
      </w:pPr>
      <w:r w:rsidRPr="00ED0299">
        <w:rPr>
          <w:rFonts w:ascii="Arial" w:hAnsi="Arial" w:cs="Arial"/>
          <w:i/>
          <w:sz w:val="24"/>
          <w:szCs w:val="24"/>
        </w:rPr>
        <w:t>Zahvaljujemo na doprinosu u i</w:t>
      </w:r>
      <w:r w:rsidR="00D511C2" w:rsidRPr="00ED0299">
        <w:rPr>
          <w:rFonts w:ascii="Arial" w:hAnsi="Arial" w:cs="Arial"/>
          <w:i/>
          <w:sz w:val="24"/>
          <w:szCs w:val="24"/>
        </w:rPr>
        <w:t xml:space="preserve">zradi što kvalitetnijeg </w:t>
      </w:r>
      <w:r w:rsidR="00686A5D" w:rsidRPr="00ED0299">
        <w:rPr>
          <w:rFonts w:ascii="Arial" w:hAnsi="Arial" w:cs="Arial"/>
          <w:i/>
          <w:sz w:val="24"/>
          <w:szCs w:val="24"/>
        </w:rPr>
        <w:t xml:space="preserve">prijedloga </w:t>
      </w:r>
      <w:r w:rsidR="00A23C31" w:rsidRPr="00A23C31">
        <w:rPr>
          <w:rFonts w:ascii="Arial" w:hAnsi="Arial" w:cs="Arial"/>
          <w:i/>
          <w:iCs/>
          <w:sz w:val="24"/>
          <w:szCs w:val="24"/>
        </w:rPr>
        <w:t>Odluke</w:t>
      </w:r>
      <w:r w:rsidR="001C612E">
        <w:rPr>
          <w:rFonts w:ascii="Arial" w:hAnsi="Arial" w:cs="Arial"/>
          <w:i/>
          <w:iCs/>
          <w:sz w:val="24"/>
          <w:szCs w:val="24"/>
        </w:rPr>
        <w:t xml:space="preserve"> o</w:t>
      </w:r>
      <w:r w:rsidR="00A23C31" w:rsidRPr="00A23C31">
        <w:rPr>
          <w:rFonts w:ascii="Arial" w:hAnsi="Arial" w:cs="Arial"/>
          <w:i/>
          <w:iCs/>
          <w:sz w:val="24"/>
          <w:szCs w:val="24"/>
        </w:rPr>
        <w:t xml:space="preserve"> </w:t>
      </w:r>
      <w:r w:rsidR="001C612E" w:rsidRPr="001C612E">
        <w:rPr>
          <w:rFonts w:ascii="Arial" w:hAnsi="Arial" w:cs="Arial"/>
          <w:bCs/>
          <w:i/>
          <w:iCs/>
          <w:sz w:val="24"/>
          <w:szCs w:val="24"/>
        </w:rPr>
        <w:t>sufinanciranju drugih obrazovnih materijala za školsku godinu 2024./2025.</w:t>
      </w:r>
    </w:p>
    <w:p w14:paraId="32AEFECC" w14:textId="77777777" w:rsidR="00686A5D" w:rsidRPr="00ED0299" w:rsidRDefault="00686A5D" w:rsidP="005E409B">
      <w:pPr>
        <w:spacing w:after="0" w:line="240" w:lineRule="auto"/>
        <w:ind w:left="-709"/>
        <w:jc w:val="both"/>
        <w:rPr>
          <w:rFonts w:ascii="Arial" w:hAnsi="Arial" w:cs="Arial"/>
          <w:b/>
          <w:sz w:val="24"/>
          <w:szCs w:val="24"/>
        </w:rPr>
      </w:pPr>
    </w:p>
    <w:p w14:paraId="1DA9FE97" w14:textId="77777777" w:rsidR="00801B4B" w:rsidRPr="00ED0299" w:rsidRDefault="00801B4B" w:rsidP="00E97189">
      <w:pPr>
        <w:spacing w:after="0" w:line="240" w:lineRule="auto"/>
        <w:ind w:left="-709"/>
        <w:jc w:val="both"/>
        <w:rPr>
          <w:rFonts w:ascii="Arial" w:hAnsi="Arial" w:cs="Arial"/>
          <w:b/>
          <w:i/>
          <w:sz w:val="24"/>
          <w:szCs w:val="24"/>
        </w:rPr>
      </w:pPr>
    </w:p>
    <w:p w14:paraId="1D98A38D" w14:textId="205B02A8" w:rsidR="00E97189" w:rsidRPr="00ED0299" w:rsidRDefault="00737AAB" w:rsidP="00E97189">
      <w:pPr>
        <w:spacing w:after="0" w:line="240" w:lineRule="auto"/>
        <w:ind w:left="-709"/>
        <w:jc w:val="both"/>
        <w:rPr>
          <w:rFonts w:ascii="Arial" w:hAnsi="Arial" w:cs="Arial"/>
          <w:b/>
          <w:sz w:val="24"/>
          <w:szCs w:val="24"/>
        </w:rPr>
      </w:pPr>
      <w:r w:rsidRPr="00ED0299">
        <w:rPr>
          <w:rFonts w:ascii="Arial" w:hAnsi="Arial" w:cs="Arial"/>
          <w:sz w:val="24"/>
          <w:szCs w:val="24"/>
        </w:rPr>
        <w:t>KLASA:</w:t>
      </w:r>
      <w:r w:rsidR="00444AE4">
        <w:rPr>
          <w:rFonts w:ascii="Arial" w:hAnsi="Arial" w:cs="Arial"/>
          <w:sz w:val="24"/>
          <w:szCs w:val="24"/>
        </w:rPr>
        <w:t xml:space="preserve"> </w:t>
      </w:r>
      <w:r w:rsidR="001C612E">
        <w:rPr>
          <w:rFonts w:ascii="Arial" w:hAnsi="Arial" w:cs="Arial"/>
          <w:sz w:val="24"/>
          <w:szCs w:val="24"/>
        </w:rPr>
        <w:t>602-13/24-01/4</w:t>
      </w:r>
    </w:p>
    <w:p w14:paraId="03C710A6" w14:textId="5EF98DAC" w:rsidR="00E97189" w:rsidRPr="00ED0299" w:rsidRDefault="00737AAB" w:rsidP="00E97189">
      <w:pPr>
        <w:spacing w:after="0" w:line="240" w:lineRule="auto"/>
        <w:ind w:left="-709"/>
        <w:jc w:val="both"/>
        <w:rPr>
          <w:rFonts w:ascii="Arial" w:hAnsi="Arial" w:cs="Arial"/>
          <w:b/>
          <w:sz w:val="24"/>
          <w:szCs w:val="24"/>
        </w:rPr>
      </w:pPr>
      <w:r w:rsidRPr="00ED0299">
        <w:rPr>
          <w:rFonts w:ascii="Arial" w:hAnsi="Arial" w:cs="Arial"/>
          <w:sz w:val="24"/>
          <w:szCs w:val="24"/>
        </w:rPr>
        <w:t>URBROJ: 2109</w:t>
      </w:r>
      <w:r w:rsidR="00FB2410" w:rsidRPr="00ED0299">
        <w:rPr>
          <w:rFonts w:ascii="Arial" w:hAnsi="Arial" w:cs="Arial"/>
          <w:sz w:val="24"/>
          <w:szCs w:val="24"/>
        </w:rPr>
        <w:t>-</w:t>
      </w:r>
      <w:r w:rsidR="00964FCB" w:rsidRPr="00ED0299">
        <w:rPr>
          <w:rFonts w:ascii="Arial" w:hAnsi="Arial" w:cs="Arial"/>
          <w:sz w:val="24"/>
          <w:szCs w:val="24"/>
        </w:rPr>
        <w:t>2-</w:t>
      </w:r>
      <w:r w:rsidR="0035335D">
        <w:rPr>
          <w:rFonts w:ascii="Arial" w:hAnsi="Arial" w:cs="Arial"/>
          <w:sz w:val="24"/>
          <w:szCs w:val="24"/>
        </w:rPr>
        <w:t>0</w:t>
      </w:r>
      <w:r w:rsidR="00A23C31">
        <w:rPr>
          <w:rFonts w:ascii="Arial" w:hAnsi="Arial" w:cs="Arial"/>
          <w:sz w:val="24"/>
          <w:szCs w:val="24"/>
        </w:rPr>
        <w:t>9</w:t>
      </w:r>
      <w:r w:rsidR="0011354A" w:rsidRPr="00ED0299">
        <w:rPr>
          <w:rFonts w:ascii="Arial" w:hAnsi="Arial" w:cs="Arial"/>
          <w:sz w:val="24"/>
          <w:szCs w:val="24"/>
        </w:rPr>
        <w:t>-</w:t>
      </w:r>
      <w:r w:rsidR="001C612E">
        <w:rPr>
          <w:rFonts w:ascii="Arial" w:hAnsi="Arial" w:cs="Arial"/>
          <w:sz w:val="24"/>
          <w:szCs w:val="24"/>
        </w:rPr>
        <w:t>01-</w:t>
      </w:r>
      <w:r w:rsidR="00444AE4">
        <w:rPr>
          <w:rFonts w:ascii="Arial" w:hAnsi="Arial" w:cs="Arial"/>
          <w:sz w:val="24"/>
          <w:szCs w:val="24"/>
        </w:rPr>
        <w:t>24</w:t>
      </w:r>
      <w:r w:rsidR="0011354A" w:rsidRPr="00ED0299">
        <w:rPr>
          <w:rFonts w:ascii="Arial" w:hAnsi="Arial" w:cs="Arial"/>
          <w:sz w:val="24"/>
          <w:szCs w:val="24"/>
        </w:rPr>
        <w:t>-</w:t>
      </w:r>
      <w:r w:rsidR="001C612E">
        <w:rPr>
          <w:rFonts w:ascii="Arial" w:hAnsi="Arial" w:cs="Arial"/>
          <w:sz w:val="24"/>
          <w:szCs w:val="24"/>
        </w:rPr>
        <w:t>4</w:t>
      </w:r>
    </w:p>
    <w:p w14:paraId="06D65B2B" w14:textId="42CD52C5" w:rsidR="00964FCB" w:rsidRPr="00ED0299" w:rsidRDefault="00964FCB" w:rsidP="00E97189">
      <w:pPr>
        <w:spacing w:after="0" w:line="240" w:lineRule="auto"/>
        <w:ind w:left="-709"/>
        <w:jc w:val="both"/>
        <w:rPr>
          <w:rFonts w:ascii="Arial" w:hAnsi="Arial" w:cs="Arial"/>
          <w:sz w:val="24"/>
          <w:szCs w:val="24"/>
        </w:rPr>
      </w:pPr>
      <w:r w:rsidRPr="00ED0299">
        <w:rPr>
          <w:rFonts w:ascii="Arial" w:hAnsi="Arial" w:cs="Arial"/>
          <w:sz w:val="24"/>
          <w:szCs w:val="24"/>
        </w:rPr>
        <w:t xml:space="preserve">Čakovec, </w:t>
      </w:r>
      <w:r w:rsidR="00A23C31">
        <w:rPr>
          <w:rFonts w:ascii="Arial" w:hAnsi="Arial" w:cs="Arial"/>
          <w:sz w:val="24"/>
          <w:szCs w:val="24"/>
        </w:rPr>
        <w:t>1</w:t>
      </w:r>
      <w:r w:rsidR="001C612E">
        <w:rPr>
          <w:rFonts w:ascii="Arial" w:hAnsi="Arial" w:cs="Arial"/>
          <w:sz w:val="24"/>
          <w:szCs w:val="24"/>
        </w:rPr>
        <w:t xml:space="preserve">7. svibanj </w:t>
      </w:r>
      <w:r w:rsidR="00924480" w:rsidRPr="00ED0299">
        <w:rPr>
          <w:rFonts w:ascii="Arial" w:hAnsi="Arial" w:cs="Arial"/>
          <w:sz w:val="24"/>
          <w:szCs w:val="24"/>
        </w:rPr>
        <w:t>202</w:t>
      </w:r>
      <w:r w:rsidR="0011495C">
        <w:rPr>
          <w:rFonts w:ascii="Arial" w:hAnsi="Arial" w:cs="Arial"/>
          <w:sz w:val="24"/>
          <w:szCs w:val="24"/>
        </w:rPr>
        <w:t>4</w:t>
      </w:r>
      <w:r w:rsidR="00924480" w:rsidRPr="00ED0299">
        <w:rPr>
          <w:rFonts w:ascii="Arial" w:hAnsi="Arial" w:cs="Arial"/>
          <w:sz w:val="24"/>
          <w:szCs w:val="24"/>
        </w:rPr>
        <w:t>.</w:t>
      </w:r>
    </w:p>
    <w:p w14:paraId="4C360843" w14:textId="4874378D" w:rsidR="00924480" w:rsidRPr="00ED0299" w:rsidRDefault="00924480" w:rsidP="00924480">
      <w:pPr>
        <w:tabs>
          <w:tab w:val="left" w:pos="6045"/>
        </w:tabs>
        <w:rPr>
          <w:rFonts w:ascii="Arial" w:hAnsi="Arial" w:cs="Arial"/>
          <w:sz w:val="24"/>
          <w:szCs w:val="24"/>
        </w:rPr>
      </w:pPr>
      <w:r w:rsidRPr="00ED0299">
        <w:rPr>
          <w:rFonts w:ascii="Arial" w:hAnsi="Arial" w:cs="Arial"/>
          <w:sz w:val="24"/>
          <w:szCs w:val="24"/>
        </w:rPr>
        <w:tab/>
      </w:r>
    </w:p>
    <w:sectPr w:rsidR="00924480" w:rsidRPr="00ED0299" w:rsidSect="00E71B4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452F5"/>
    <w:multiLevelType w:val="hybridMultilevel"/>
    <w:tmpl w:val="1E169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5409C"/>
    <w:multiLevelType w:val="hybridMultilevel"/>
    <w:tmpl w:val="D346AC7E"/>
    <w:lvl w:ilvl="0" w:tplc="74A6A650">
      <w:start w:val="5"/>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11247"/>
    <w:multiLevelType w:val="hybridMultilevel"/>
    <w:tmpl w:val="03F4E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E630C0"/>
    <w:multiLevelType w:val="hybridMultilevel"/>
    <w:tmpl w:val="282209EA"/>
    <w:lvl w:ilvl="0" w:tplc="E264CD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8D1A1D"/>
    <w:multiLevelType w:val="hybridMultilevel"/>
    <w:tmpl w:val="DBBE90E6"/>
    <w:lvl w:ilvl="0" w:tplc="DC9E32B4">
      <w:numFmt w:val="bullet"/>
      <w:lvlText w:val="-"/>
      <w:lvlJc w:val="left"/>
      <w:pPr>
        <w:tabs>
          <w:tab w:val="num" w:pos="442"/>
        </w:tabs>
        <w:ind w:left="442" w:hanging="360"/>
      </w:pPr>
      <w:rPr>
        <w:rFonts w:ascii="Arial" w:eastAsia="Calibri" w:hAnsi="Arial" w:cs="Arial" w:hint="default"/>
        <w:w w:val="1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941F8"/>
    <w:multiLevelType w:val="hybridMultilevel"/>
    <w:tmpl w:val="CB6CA65A"/>
    <w:lvl w:ilvl="0" w:tplc="7DB4D1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3BC35C34"/>
    <w:multiLevelType w:val="hybridMultilevel"/>
    <w:tmpl w:val="21CE34E2"/>
    <w:lvl w:ilvl="0" w:tplc="CAAA4FA2">
      <w:numFmt w:val="bullet"/>
      <w:lvlText w:val="-"/>
      <w:lvlJc w:val="left"/>
      <w:pPr>
        <w:tabs>
          <w:tab w:val="num" w:pos="1004"/>
        </w:tabs>
        <w:ind w:left="1004" w:hanging="360"/>
      </w:pPr>
      <w:rPr>
        <w:rFonts w:ascii="Arial" w:eastAsia="Times New Roman" w:hAnsi="Arial" w:cs="Arial" w:hint="default"/>
      </w:rPr>
    </w:lvl>
    <w:lvl w:ilvl="1" w:tplc="041A0003" w:tentative="1">
      <w:start w:val="1"/>
      <w:numFmt w:val="bullet"/>
      <w:lvlText w:val="o"/>
      <w:lvlJc w:val="left"/>
      <w:pPr>
        <w:tabs>
          <w:tab w:val="num" w:pos="1724"/>
        </w:tabs>
        <w:ind w:left="1724" w:hanging="360"/>
      </w:pPr>
      <w:rPr>
        <w:rFonts w:ascii="Courier New" w:hAnsi="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D353B7"/>
    <w:multiLevelType w:val="hybridMultilevel"/>
    <w:tmpl w:val="FB36C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9C1189"/>
    <w:multiLevelType w:val="hybridMultilevel"/>
    <w:tmpl w:val="8ED06E6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46821A41"/>
    <w:multiLevelType w:val="hybridMultilevel"/>
    <w:tmpl w:val="5254B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E546F1"/>
    <w:multiLevelType w:val="hybridMultilevel"/>
    <w:tmpl w:val="1E9A5554"/>
    <w:lvl w:ilvl="0" w:tplc="D81C67C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20253B6"/>
    <w:multiLevelType w:val="hybridMultilevel"/>
    <w:tmpl w:val="97CE53FC"/>
    <w:lvl w:ilvl="0" w:tplc="20F6CC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A9B23F0"/>
    <w:multiLevelType w:val="hybridMultilevel"/>
    <w:tmpl w:val="6902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9731EA"/>
    <w:multiLevelType w:val="hybridMultilevel"/>
    <w:tmpl w:val="7552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F546AE9"/>
    <w:multiLevelType w:val="hybridMultilevel"/>
    <w:tmpl w:val="742E6E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C35EE3"/>
    <w:multiLevelType w:val="hybridMultilevel"/>
    <w:tmpl w:val="0DC004FE"/>
    <w:lvl w:ilvl="0" w:tplc="CAAA4FA2">
      <w:numFmt w:val="bullet"/>
      <w:lvlText w:val="-"/>
      <w:lvlJc w:val="left"/>
      <w:pPr>
        <w:tabs>
          <w:tab w:val="num" w:pos="1005"/>
        </w:tabs>
        <w:ind w:left="1005" w:hanging="360"/>
      </w:pPr>
      <w:rPr>
        <w:rFonts w:ascii="Arial" w:eastAsia="Times New Roman" w:hAnsi="Arial" w:cs="Arial" w:hint="default"/>
      </w:rPr>
    </w:lvl>
    <w:lvl w:ilvl="1" w:tplc="041A0003" w:tentative="1">
      <w:start w:val="1"/>
      <w:numFmt w:val="bullet"/>
      <w:lvlText w:val="o"/>
      <w:lvlJc w:val="left"/>
      <w:pPr>
        <w:tabs>
          <w:tab w:val="num" w:pos="1725"/>
        </w:tabs>
        <w:ind w:left="1725" w:hanging="360"/>
      </w:pPr>
      <w:rPr>
        <w:rFonts w:ascii="Courier New" w:hAnsi="Courier New" w:hint="default"/>
      </w:rPr>
    </w:lvl>
    <w:lvl w:ilvl="2" w:tplc="041A0005" w:tentative="1">
      <w:start w:val="1"/>
      <w:numFmt w:val="bullet"/>
      <w:lvlText w:val=""/>
      <w:lvlJc w:val="left"/>
      <w:pPr>
        <w:tabs>
          <w:tab w:val="num" w:pos="2445"/>
        </w:tabs>
        <w:ind w:left="2445" w:hanging="360"/>
      </w:pPr>
      <w:rPr>
        <w:rFonts w:ascii="Wingdings" w:hAnsi="Wingdings" w:hint="default"/>
      </w:rPr>
    </w:lvl>
    <w:lvl w:ilvl="3" w:tplc="041A0001" w:tentative="1">
      <w:start w:val="1"/>
      <w:numFmt w:val="bullet"/>
      <w:lvlText w:val=""/>
      <w:lvlJc w:val="left"/>
      <w:pPr>
        <w:tabs>
          <w:tab w:val="num" w:pos="3165"/>
        </w:tabs>
        <w:ind w:left="3165" w:hanging="360"/>
      </w:pPr>
      <w:rPr>
        <w:rFonts w:ascii="Symbol" w:hAnsi="Symbol" w:hint="default"/>
      </w:rPr>
    </w:lvl>
    <w:lvl w:ilvl="4" w:tplc="041A0003" w:tentative="1">
      <w:start w:val="1"/>
      <w:numFmt w:val="bullet"/>
      <w:lvlText w:val="o"/>
      <w:lvlJc w:val="left"/>
      <w:pPr>
        <w:tabs>
          <w:tab w:val="num" w:pos="3885"/>
        </w:tabs>
        <w:ind w:left="3885" w:hanging="360"/>
      </w:pPr>
      <w:rPr>
        <w:rFonts w:ascii="Courier New" w:hAnsi="Courier New" w:hint="default"/>
      </w:rPr>
    </w:lvl>
    <w:lvl w:ilvl="5" w:tplc="041A0005" w:tentative="1">
      <w:start w:val="1"/>
      <w:numFmt w:val="bullet"/>
      <w:lvlText w:val=""/>
      <w:lvlJc w:val="left"/>
      <w:pPr>
        <w:tabs>
          <w:tab w:val="num" w:pos="4605"/>
        </w:tabs>
        <w:ind w:left="4605" w:hanging="360"/>
      </w:pPr>
      <w:rPr>
        <w:rFonts w:ascii="Wingdings" w:hAnsi="Wingdings" w:hint="default"/>
      </w:rPr>
    </w:lvl>
    <w:lvl w:ilvl="6" w:tplc="041A0001" w:tentative="1">
      <w:start w:val="1"/>
      <w:numFmt w:val="bullet"/>
      <w:lvlText w:val=""/>
      <w:lvlJc w:val="left"/>
      <w:pPr>
        <w:tabs>
          <w:tab w:val="num" w:pos="5325"/>
        </w:tabs>
        <w:ind w:left="5325" w:hanging="360"/>
      </w:pPr>
      <w:rPr>
        <w:rFonts w:ascii="Symbol" w:hAnsi="Symbol" w:hint="default"/>
      </w:rPr>
    </w:lvl>
    <w:lvl w:ilvl="7" w:tplc="041A0003" w:tentative="1">
      <w:start w:val="1"/>
      <w:numFmt w:val="bullet"/>
      <w:lvlText w:val="o"/>
      <w:lvlJc w:val="left"/>
      <w:pPr>
        <w:tabs>
          <w:tab w:val="num" w:pos="6045"/>
        </w:tabs>
        <w:ind w:left="6045" w:hanging="360"/>
      </w:pPr>
      <w:rPr>
        <w:rFonts w:ascii="Courier New" w:hAnsi="Courier New" w:hint="default"/>
      </w:rPr>
    </w:lvl>
    <w:lvl w:ilvl="8" w:tplc="041A0005" w:tentative="1">
      <w:start w:val="1"/>
      <w:numFmt w:val="bullet"/>
      <w:lvlText w:val=""/>
      <w:lvlJc w:val="left"/>
      <w:pPr>
        <w:tabs>
          <w:tab w:val="num" w:pos="6765"/>
        </w:tabs>
        <w:ind w:left="6765" w:hanging="360"/>
      </w:pPr>
      <w:rPr>
        <w:rFonts w:ascii="Wingdings" w:hAnsi="Wingdings" w:hint="default"/>
      </w:rPr>
    </w:lvl>
  </w:abstractNum>
  <w:abstractNum w:abstractNumId="18" w15:restartNumberingAfterBreak="0">
    <w:nsid w:val="79D774F4"/>
    <w:multiLevelType w:val="hybridMultilevel"/>
    <w:tmpl w:val="69BE3678"/>
    <w:lvl w:ilvl="0" w:tplc="BC36067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7F483FF2"/>
    <w:multiLevelType w:val="hybridMultilevel"/>
    <w:tmpl w:val="0C465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2467689">
    <w:abstractNumId w:val="15"/>
  </w:num>
  <w:num w:numId="2" w16cid:durableId="2005009719">
    <w:abstractNumId w:val="5"/>
  </w:num>
  <w:num w:numId="3" w16cid:durableId="893388422">
    <w:abstractNumId w:val="9"/>
  </w:num>
  <w:num w:numId="4" w16cid:durableId="1046685528">
    <w:abstractNumId w:val="17"/>
  </w:num>
  <w:num w:numId="5" w16cid:durableId="1316379638">
    <w:abstractNumId w:val="7"/>
  </w:num>
  <w:num w:numId="6" w16cid:durableId="1027875698">
    <w:abstractNumId w:val="4"/>
  </w:num>
  <w:num w:numId="7" w16cid:durableId="568883440">
    <w:abstractNumId w:val="18"/>
  </w:num>
  <w:num w:numId="8" w16cid:durableId="1990210709">
    <w:abstractNumId w:val="10"/>
  </w:num>
  <w:num w:numId="9" w16cid:durableId="1643270575">
    <w:abstractNumId w:val="19"/>
  </w:num>
  <w:num w:numId="10" w16cid:durableId="1899245680">
    <w:abstractNumId w:val="13"/>
  </w:num>
  <w:num w:numId="11" w16cid:durableId="863833223">
    <w:abstractNumId w:val="6"/>
  </w:num>
  <w:num w:numId="12" w16cid:durableId="375356888">
    <w:abstractNumId w:val="12"/>
  </w:num>
  <w:num w:numId="13" w16cid:durableId="269165856">
    <w:abstractNumId w:val="11"/>
  </w:num>
  <w:num w:numId="14" w16cid:durableId="1446273141">
    <w:abstractNumId w:val="0"/>
  </w:num>
  <w:num w:numId="15" w16cid:durableId="1608000224">
    <w:abstractNumId w:val="2"/>
  </w:num>
  <w:num w:numId="16" w16cid:durableId="1802839754">
    <w:abstractNumId w:val="16"/>
  </w:num>
  <w:num w:numId="17" w16cid:durableId="19597033">
    <w:abstractNumId w:val="8"/>
  </w:num>
  <w:num w:numId="18" w16cid:durableId="1705255882">
    <w:abstractNumId w:val="3"/>
  </w:num>
  <w:num w:numId="19" w16cid:durableId="1087270297">
    <w:abstractNumId w:val="14"/>
  </w:num>
  <w:num w:numId="20" w16cid:durableId="133001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0C"/>
    <w:rsid w:val="00012238"/>
    <w:rsid w:val="00041A18"/>
    <w:rsid w:val="00045BCF"/>
    <w:rsid w:val="00053386"/>
    <w:rsid w:val="00087E4D"/>
    <w:rsid w:val="000B1C79"/>
    <w:rsid w:val="000C6F4B"/>
    <w:rsid w:val="000E1D6F"/>
    <w:rsid w:val="000E7644"/>
    <w:rsid w:val="000F1CC1"/>
    <w:rsid w:val="0011354A"/>
    <w:rsid w:val="0011495C"/>
    <w:rsid w:val="0012209E"/>
    <w:rsid w:val="001367C2"/>
    <w:rsid w:val="00183175"/>
    <w:rsid w:val="001B108F"/>
    <w:rsid w:val="001C612E"/>
    <w:rsid w:val="001D0AB1"/>
    <w:rsid w:val="001E6C3D"/>
    <w:rsid w:val="001F3D6E"/>
    <w:rsid w:val="00236CAF"/>
    <w:rsid w:val="00237E5F"/>
    <w:rsid w:val="00254B79"/>
    <w:rsid w:val="002C7079"/>
    <w:rsid w:val="002E2814"/>
    <w:rsid w:val="002E494F"/>
    <w:rsid w:val="002E5CF2"/>
    <w:rsid w:val="00323A11"/>
    <w:rsid w:val="003258E6"/>
    <w:rsid w:val="00330D6E"/>
    <w:rsid w:val="00345538"/>
    <w:rsid w:val="00351E2A"/>
    <w:rsid w:val="0035335D"/>
    <w:rsid w:val="00360936"/>
    <w:rsid w:val="0036493C"/>
    <w:rsid w:val="00371203"/>
    <w:rsid w:val="003940CA"/>
    <w:rsid w:val="003A5D66"/>
    <w:rsid w:val="003A62E2"/>
    <w:rsid w:val="003B3219"/>
    <w:rsid w:val="003E0C6C"/>
    <w:rsid w:val="00437975"/>
    <w:rsid w:val="00444AE4"/>
    <w:rsid w:val="00445B9C"/>
    <w:rsid w:val="0047234F"/>
    <w:rsid w:val="00472F30"/>
    <w:rsid w:val="00476DEA"/>
    <w:rsid w:val="00484652"/>
    <w:rsid w:val="00495AA7"/>
    <w:rsid w:val="004A399B"/>
    <w:rsid w:val="004A72A8"/>
    <w:rsid w:val="004C3DA3"/>
    <w:rsid w:val="004C7A09"/>
    <w:rsid w:val="004D6BB1"/>
    <w:rsid w:val="004F6B01"/>
    <w:rsid w:val="00504BE0"/>
    <w:rsid w:val="00512283"/>
    <w:rsid w:val="00576FC3"/>
    <w:rsid w:val="00587A05"/>
    <w:rsid w:val="0059167F"/>
    <w:rsid w:val="005916AB"/>
    <w:rsid w:val="005A7116"/>
    <w:rsid w:val="005C45DE"/>
    <w:rsid w:val="005E409B"/>
    <w:rsid w:val="00605EC9"/>
    <w:rsid w:val="00606C57"/>
    <w:rsid w:val="00642539"/>
    <w:rsid w:val="00686A5D"/>
    <w:rsid w:val="00687BFB"/>
    <w:rsid w:val="006A1288"/>
    <w:rsid w:val="006A5F8A"/>
    <w:rsid w:val="006B40B6"/>
    <w:rsid w:val="006B48AE"/>
    <w:rsid w:val="006B6842"/>
    <w:rsid w:val="006B7215"/>
    <w:rsid w:val="006E5D4C"/>
    <w:rsid w:val="00707483"/>
    <w:rsid w:val="00712A6D"/>
    <w:rsid w:val="0073793F"/>
    <w:rsid w:val="00737AAB"/>
    <w:rsid w:val="007453C1"/>
    <w:rsid w:val="00782E18"/>
    <w:rsid w:val="007A0700"/>
    <w:rsid w:val="007D3036"/>
    <w:rsid w:val="007E32F2"/>
    <w:rsid w:val="007F2FE6"/>
    <w:rsid w:val="00801B4B"/>
    <w:rsid w:val="00814939"/>
    <w:rsid w:val="0083567D"/>
    <w:rsid w:val="008B3571"/>
    <w:rsid w:val="008B4870"/>
    <w:rsid w:val="008C21DB"/>
    <w:rsid w:val="008C3AE7"/>
    <w:rsid w:val="008D160C"/>
    <w:rsid w:val="008F50C5"/>
    <w:rsid w:val="00906C87"/>
    <w:rsid w:val="00924480"/>
    <w:rsid w:val="00964FCB"/>
    <w:rsid w:val="00976AF5"/>
    <w:rsid w:val="00980DBD"/>
    <w:rsid w:val="009B1572"/>
    <w:rsid w:val="009F456A"/>
    <w:rsid w:val="00A03AFD"/>
    <w:rsid w:val="00A07B5B"/>
    <w:rsid w:val="00A17478"/>
    <w:rsid w:val="00A23A12"/>
    <w:rsid w:val="00A23C31"/>
    <w:rsid w:val="00A34DBF"/>
    <w:rsid w:val="00A72D38"/>
    <w:rsid w:val="00AC406D"/>
    <w:rsid w:val="00B007D4"/>
    <w:rsid w:val="00B03B8E"/>
    <w:rsid w:val="00B13A86"/>
    <w:rsid w:val="00B168A0"/>
    <w:rsid w:val="00B21526"/>
    <w:rsid w:val="00B224C6"/>
    <w:rsid w:val="00B235EF"/>
    <w:rsid w:val="00B33C1B"/>
    <w:rsid w:val="00B40BC6"/>
    <w:rsid w:val="00B72039"/>
    <w:rsid w:val="00B947D1"/>
    <w:rsid w:val="00BA08DB"/>
    <w:rsid w:val="00BC73B6"/>
    <w:rsid w:val="00BD5AE2"/>
    <w:rsid w:val="00BE365A"/>
    <w:rsid w:val="00BE3CF9"/>
    <w:rsid w:val="00C02FEA"/>
    <w:rsid w:val="00C050FF"/>
    <w:rsid w:val="00C0725E"/>
    <w:rsid w:val="00C23C31"/>
    <w:rsid w:val="00C34872"/>
    <w:rsid w:val="00C378D3"/>
    <w:rsid w:val="00C77648"/>
    <w:rsid w:val="00C8022E"/>
    <w:rsid w:val="00C81517"/>
    <w:rsid w:val="00CB17B8"/>
    <w:rsid w:val="00CE553D"/>
    <w:rsid w:val="00D00791"/>
    <w:rsid w:val="00D15BFB"/>
    <w:rsid w:val="00D511C2"/>
    <w:rsid w:val="00D5286D"/>
    <w:rsid w:val="00D65BCC"/>
    <w:rsid w:val="00D74F39"/>
    <w:rsid w:val="00D905D4"/>
    <w:rsid w:val="00D90D00"/>
    <w:rsid w:val="00DA0870"/>
    <w:rsid w:val="00DC42D4"/>
    <w:rsid w:val="00E03D45"/>
    <w:rsid w:val="00E11637"/>
    <w:rsid w:val="00E27F24"/>
    <w:rsid w:val="00E32A0F"/>
    <w:rsid w:val="00E4676D"/>
    <w:rsid w:val="00E71B49"/>
    <w:rsid w:val="00E851EB"/>
    <w:rsid w:val="00E95D7B"/>
    <w:rsid w:val="00E97189"/>
    <w:rsid w:val="00EC2DAE"/>
    <w:rsid w:val="00EC71CE"/>
    <w:rsid w:val="00EC76E1"/>
    <w:rsid w:val="00ED0299"/>
    <w:rsid w:val="00ED55AA"/>
    <w:rsid w:val="00F0135C"/>
    <w:rsid w:val="00F054D0"/>
    <w:rsid w:val="00F35949"/>
    <w:rsid w:val="00F53879"/>
    <w:rsid w:val="00F91CFD"/>
    <w:rsid w:val="00F96A48"/>
    <w:rsid w:val="00FB2410"/>
    <w:rsid w:val="00FE00CD"/>
    <w:rsid w:val="00FF5B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FB7A"/>
  <w15:docId w15:val="{FAE55033-962A-4971-B365-7DEE3FF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8022E"/>
    <w:pPr>
      <w:keepNext/>
      <w:spacing w:after="0" w:line="240" w:lineRule="auto"/>
      <w:jc w:val="both"/>
      <w:outlineLvl w:val="0"/>
    </w:pPr>
    <w:rPr>
      <w:rFonts w:ascii="Times New Roman" w:eastAsia="Arial Unicode MS" w:hAnsi="Times New Roman" w:cs="Times New Roman"/>
      <w:sz w:val="24"/>
      <w:szCs w:val="20"/>
      <w:lang w:val="de-DE" w:eastAsia="hr-HR"/>
    </w:rPr>
  </w:style>
  <w:style w:type="paragraph" w:styleId="Naslov2">
    <w:name w:val="heading 2"/>
    <w:basedOn w:val="Normal"/>
    <w:next w:val="Normal"/>
    <w:link w:val="Naslov2Char"/>
    <w:qFormat/>
    <w:rsid w:val="00C8022E"/>
    <w:pPr>
      <w:keepNext/>
      <w:spacing w:after="0" w:line="240" w:lineRule="auto"/>
      <w:jc w:val="center"/>
      <w:outlineLvl w:val="1"/>
    </w:pPr>
    <w:rPr>
      <w:rFonts w:ascii="Times New Roman" w:eastAsia="Arial Unicode MS" w:hAnsi="Times New Roman" w:cs="Times New Roman"/>
      <w:b/>
      <w:sz w:val="24"/>
      <w:szCs w:val="20"/>
      <w:lang w:val="en-AU" w:eastAsia="hr-HR"/>
    </w:rPr>
  </w:style>
  <w:style w:type="paragraph" w:styleId="Naslov3">
    <w:name w:val="heading 3"/>
    <w:basedOn w:val="Normal"/>
    <w:next w:val="Normal"/>
    <w:link w:val="Naslov3Char"/>
    <w:unhideWhenUsed/>
    <w:qFormat/>
    <w:rsid w:val="00C8022E"/>
    <w:pPr>
      <w:keepNext/>
      <w:spacing w:before="240" w:after="60" w:line="240" w:lineRule="auto"/>
      <w:outlineLvl w:val="2"/>
    </w:pPr>
    <w:rPr>
      <w:rFonts w:ascii="Cambria" w:eastAsia="Times New Roman" w:hAnsi="Cambria" w:cs="Times New Roman"/>
      <w:b/>
      <w:bCs/>
      <w:sz w:val="26"/>
      <w:szCs w:val="26"/>
      <w:lang w:eastAsia="hr-HR"/>
    </w:rPr>
  </w:style>
  <w:style w:type="paragraph" w:styleId="Naslov4">
    <w:name w:val="heading 4"/>
    <w:basedOn w:val="Normal"/>
    <w:next w:val="Normal"/>
    <w:link w:val="Naslov4Char"/>
    <w:semiHidden/>
    <w:unhideWhenUsed/>
    <w:qFormat/>
    <w:rsid w:val="00C8022E"/>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D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04BE0"/>
    <w:rPr>
      <w:color w:val="0563C1" w:themeColor="hyperlink"/>
      <w:u w:val="single"/>
    </w:rPr>
  </w:style>
  <w:style w:type="paragraph" w:styleId="Tijeloteksta">
    <w:name w:val="Body Text"/>
    <w:basedOn w:val="Normal"/>
    <w:link w:val="TijelotekstaChar"/>
    <w:rsid w:val="00DC42D4"/>
    <w:pPr>
      <w:spacing w:after="0" w:line="240" w:lineRule="auto"/>
      <w:ind w:right="5386"/>
      <w:jc w:val="center"/>
    </w:pPr>
    <w:rPr>
      <w:rFonts w:ascii="Times New Roman" w:eastAsia="Times New Roman" w:hAnsi="Times New Roman" w:cs="Times New Roman"/>
      <w:sz w:val="28"/>
      <w:szCs w:val="20"/>
      <w:lang w:val="en-AU" w:eastAsia="hr-HR"/>
    </w:rPr>
  </w:style>
  <w:style w:type="character" w:customStyle="1" w:styleId="TijelotekstaChar">
    <w:name w:val="Tijelo teksta Char"/>
    <w:basedOn w:val="Zadanifontodlomka"/>
    <w:link w:val="Tijeloteksta"/>
    <w:rsid w:val="00DC42D4"/>
    <w:rPr>
      <w:rFonts w:ascii="Times New Roman" w:eastAsia="Times New Roman" w:hAnsi="Times New Roman" w:cs="Times New Roman"/>
      <w:sz w:val="28"/>
      <w:szCs w:val="20"/>
      <w:lang w:val="en-AU" w:eastAsia="hr-HR"/>
    </w:rPr>
  </w:style>
  <w:style w:type="paragraph" w:styleId="StandardWeb">
    <w:name w:val="Normal (Web)"/>
    <w:basedOn w:val="Normal"/>
    <w:uiPriority w:val="99"/>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13A86"/>
    <w:pPr>
      <w:autoSpaceDE w:val="0"/>
      <w:autoSpaceDN w:val="0"/>
      <w:adjustRightInd w:val="0"/>
      <w:spacing w:after="0" w:line="240" w:lineRule="auto"/>
    </w:pPr>
    <w:rPr>
      <w:rFonts w:ascii="Arial" w:eastAsia="Calibri" w:hAnsi="Arial" w:cs="Arial"/>
      <w:color w:val="000000"/>
      <w:sz w:val="24"/>
      <w:szCs w:val="24"/>
      <w:lang w:eastAsia="hr-HR"/>
    </w:rPr>
  </w:style>
  <w:style w:type="character" w:styleId="Naglaeno">
    <w:name w:val="Strong"/>
    <w:uiPriority w:val="22"/>
    <w:qFormat/>
    <w:rsid w:val="00B13A86"/>
    <w:rPr>
      <w:b/>
      <w:bCs/>
    </w:rPr>
  </w:style>
  <w:style w:type="paragraph" w:customStyle="1" w:styleId="box457104">
    <w:name w:val="box_457104"/>
    <w:basedOn w:val="Normal"/>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C8022E"/>
    <w:rPr>
      <w:rFonts w:ascii="Times New Roman" w:eastAsia="Arial Unicode MS" w:hAnsi="Times New Roman" w:cs="Times New Roman"/>
      <w:sz w:val="24"/>
      <w:szCs w:val="20"/>
      <w:lang w:val="de-DE" w:eastAsia="hr-HR"/>
    </w:rPr>
  </w:style>
  <w:style w:type="character" w:customStyle="1" w:styleId="Naslov2Char">
    <w:name w:val="Naslov 2 Char"/>
    <w:basedOn w:val="Zadanifontodlomka"/>
    <w:link w:val="Naslov2"/>
    <w:rsid w:val="00C8022E"/>
    <w:rPr>
      <w:rFonts w:ascii="Times New Roman" w:eastAsia="Arial Unicode MS" w:hAnsi="Times New Roman" w:cs="Times New Roman"/>
      <w:b/>
      <w:sz w:val="24"/>
      <w:szCs w:val="20"/>
      <w:lang w:val="en-AU" w:eastAsia="hr-HR"/>
    </w:rPr>
  </w:style>
  <w:style w:type="character" w:customStyle="1" w:styleId="Naslov3Char">
    <w:name w:val="Naslov 3 Char"/>
    <w:basedOn w:val="Zadanifontodlomka"/>
    <w:link w:val="Naslov3"/>
    <w:rsid w:val="00C8022E"/>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semiHidden/>
    <w:rsid w:val="00C8022E"/>
    <w:rPr>
      <w:rFonts w:ascii="Calibri" w:eastAsia="Times New Roman" w:hAnsi="Calibri" w:cs="Times New Roman"/>
      <w:b/>
      <w:bCs/>
      <w:sz w:val="28"/>
      <w:szCs w:val="28"/>
      <w:lang w:eastAsia="hr-HR"/>
    </w:rPr>
  </w:style>
  <w:style w:type="paragraph" w:styleId="Tijeloteksta2">
    <w:name w:val="Body Text 2"/>
    <w:basedOn w:val="Normal"/>
    <w:link w:val="Tijeloteksta2Char"/>
    <w:rsid w:val="00C8022E"/>
    <w:pPr>
      <w:spacing w:after="0" w:line="240" w:lineRule="auto"/>
      <w:jc w:val="both"/>
    </w:pPr>
    <w:rPr>
      <w:rFonts w:ascii="Arial" w:eastAsia="Times New Roman" w:hAnsi="Arial" w:cs="Arial"/>
      <w:color w:val="000000"/>
      <w:sz w:val="24"/>
      <w:szCs w:val="24"/>
      <w:lang w:eastAsia="hr-HR"/>
    </w:rPr>
  </w:style>
  <w:style w:type="character" w:customStyle="1" w:styleId="Tijeloteksta2Char">
    <w:name w:val="Tijelo teksta 2 Char"/>
    <w:basedOn w:val="Zadanifontodlomka"/>
    <w:link w:val="Tijeloteksta2"/>
    <w:rsid w:val="00C8022E"/>
    <w:rPr>
      <w:rFonts w:ascii="Arial" w:eastAsia="Times New Roman" w:hAnsi="Arial" w:cs="Arial"/>
      <w:color w:val="000000"/>
      <w:sz w:val="24"/>
      <w:szCs w:val="24"/>
      <w:lang w:eastAsia="hr-HR"/>
    </w:rPr>
  </w:style>
  <w:style w:type="paragraph" w:styleId="Zaglavlje">
    <w:name w:val="header"/>
    <w:basedOn w:val="Normal"/>
    <w:link w:val="ZaglavljeChar"/>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C8022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8022E"/>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C8022E"/>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C8022E"/>
    <w:rPr>
      <w:rFonts w:ascii="Times New Roman" w:eastAsia="Times New Roman" w:hAnsi="Times New Roman" w:cs="Times New Roman"/>
      <w:sz w:val="24"/>
      <w:szCs w:val="24"/>
      <w:lang w:eastAsia="hr-HR"/>
    </w:rPr>
  </w:style>
  <w:style w:type="paragraph" w:customStyle="1" w:styleId="doc">
    <w:name w:val="doc"/>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C8022E"/>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C8022E"/>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C8022E"/>
  </w:style>
  <w:style w:type="character" w:styleId="Brojstranice">
    <w:name w:val="page number"/>
    <w:basedOn w:val="Zadanifontodlomka"/>
    <w:rsid w:val="00C8022E"/>
  </w:style>
  <w:style w:type="paragraph" w:customStyle="1" w:styleId="klasa2">
    <w:name w:val="klasa2"/>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395">
    <w:name w:val="box_460395"/>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666">
    <w:name w:val="box_460666"/>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840626">
      <w:bodyDiv w:val="1"/>
      <w:marLeft w:val="0"/>
      <w:marRight w:val="0"/>
      <w:marTop w:val="0"/>
      <w:marBottom w:val="0"/>
      <w:divBdr>
        <w:top w:val="none" w:sz="0" w:space="0" w:color="auto"/>
        <w:left w:val="none" w:sz="0" w:space="0" w:color="auto"/>
        <w:bottom w:val="none" w:sz="0" w:space="0" w:color="auto"/>
        <w:right w:val="none" w:sz="0" w:space="0" w:color="auto"/>
      </w:divBdr>
    </w:div>
    <w:div w:id="110522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zoo.hr/drugi-obrazovni-materijali-arhiva/agencija-za-odgoj-i-obrazovanje-objavljuje-katalog-odobrenih-drugih-obrazovnih-materija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60AB-9E22-4C9E-848F-50304BD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402</Words>
  <Characters>2294</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Gradska uprava Čakovec</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Hajdinjak</dc:creator>
  <cp:keywords/>
  <dc:description/>
  <cp:lastModifiedBy>Marjana Horvat</cp:lastModifiedBy>
  <cp:revision>206</cp:revision>
  <cp:lastPrinted>2024-05-14T06:42:00Z</cp:lastPrinted>
  <dcterms:created xsi:type="dcterms:W3CDTF">2016-01-18T10:15:00Z</dcterms:created>
  <dcterms:modified xsi:type="dcterms:W3CDTF">2024-05-17T06:29:00Z</dcterms:modified>
</cp:coreProperties>
</file>