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8F87" w14:textId="77777777" w:rsidR="002C74E7" w:rsidRPr="008957AF" w:rsidRDefault="002C74E7" w:rsidP="002C74E7">
      <w:pPr>
        <w:ind w:firstLine="720"/>
        <w:jc w:val="right"/>
        <w:rPr>
          <w:rFonts w:ascii="Arial" w:hAnsi="Arial" w:cs="Arial"/>
          <w:b/>
          <w:szCs w:val="24"/>
        </w:rPr>
      </w:pPr>
      <w:r w:rsidRPr="008957AF">
        <w:rPr>
          <w:rFonts w:ascii="Arial" w:hAnsi="Arial" w:cs="Arial"/>
          <w:b/>
          <w:szCs w:val="24"/>
        </w:rPr>
        <w:t>PRIJEDLOG</w:t>
      </w:r>
    </w:p>
    <w:p w14:paraId="340E19B7" w14:textId="226E1FD0" w:rsidR="002C74E7" w:rsidRPr="008957AF" w:rsidRDefault="002C74E7" w:rsidP="002C74E7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8957AF">
        <w:rPr>
          <w:b w:val="0"/>
          <w:sz w:val="24"/>
          <w:szCs w:val="24"/>
        </w:rPr>
        <w:t xml:space="preserve">Temeljem </w:t>
      </w:r>
      <w:r w:rsidRPr="008957AF">
        <w:rPr>
          <w:b w:val="0"/>
          <w:bCs w:val="0"/>
          <w:sz w:val="24"/>
          <w:szCs w:val="24"/>
        </w:rPr>
        <w:t>članka</w:t>
      </w:r>
      <w:r w:rsidRPr="008957AF">
        <w:rPr>
          <w:sz w:val="24"/>
          <w:szCs w:val="24"/>
        </w:rPr>
        <w:t xml:space="preserve"> </w:t>
      </w:r>
      <w:r w:rsidRPr="008957AF">
        <w:rPr>
          <w:b w:val="0"/>
          <w:sz w:val="24"/>
          <w:szCs w:val="24"/>
        </w:rPr>
        <w:t xml:space="preserve">29. Statuta Grada Čakovca (Sl. gl. Grada Čakovca 1/21) Gradsko vijeće Grada Čakovca je na svojoj __. sjednici održanoj _______ 2022., donijelo sljedeću </w:t>
      </w:r>
    </w:p>
    <w:p w14:paraId="1BFD5C12" w14:textId="77777777" w:rsidR="002C74E7" w:rsidRPr="008957AF" w:rsidRDefault="002C74E7" w:rsidP="002C74E7">
      <w:pPr>
        <w:pStyle w:val="Tijeloteksta"/>
        <w:ind w:firstLine="720"/>
        <w:jc w:val="both"/>
        <w:rPr>
          <w:b w:val="0"/>
          <w:color w:val="FF0000"/>
          <w:sz w:val="24"/>
          <w:szCs w:val="24"/>
        </w:rPr>
      </w:pPr>
    </w:p>
    <w:p w14:paraId="61C1E92A" w14:textId="77777777" w:rsidR="002C74E7" w:rsidRPr="008957AF" w:rsidRDefault="002C74E7" w:rsidP="002C74E7">
      <w:pPr>
        <w:pStyle w:val="Tijeloteksta"/>
        <w:rPr>
          <w:szCs w:val="28"/>
        </w:rPr>
      </w:pPr>
      <w:r w:rsidRPr="008957AF">
        <w:rPr>
          <w:szCs w:val="28"/>
        </w:rPr>
        <w:t xml:space="preserve">O D L U K U </w:t>
      </w:r>
    </w:p>
    <w:p w14:paraId="6F724455" w14:textId="0D10A1C4" w:rsidR="002C74E7" w:rsidRPr="008957AF" w:rsidRDefault="008957AF" w:rsidP="002C74E7">
      <w:pPr>
        <w:pStyle w:val="Tijeloteksta"/>
        <w:rPr>
          <w:sz w:val="24"/>
          <w:szCs w:val="24"/>
        </w:rPr>
      </w:pPr>
      <w:r w:rsidRPr="008957AF">
        <w:rPr>
          <w:sz w:val="24"/>
          <w:szCs w:val="24"/>
        </w:rPr>
        <w:t>o mjerama poticaja za kupnju nekretnina na području Grada Čakovca</w:t>
      </w:r>
    </w:p>
    <w:p w14:paraId="0DB454FD" w14:textId="77777777" w:rsidR="002C74E7" w:rsidRPr="008957AF" w:rsidRDefault="002C74E7" w:rsidP="002C74E7">
      <w:pPr>
        <w:pStyle w:val="Tijeloteksta"/>
        <w:rPr>
          <w:sz w:val="24"/>
          <w:szCs w:val="24"/>
        </w:rPr>
      </w:pPr>
    </w:p>
    <w:p w14:paraId="5A2D14CC" w14:textId="141F7E5C" w:rsidR="002C74E7" w:rsidRPr="008957AF" w:rsidRDefault="002C74E7" w:rsidP="002C74E7">
      <w:pPr>
        <w:pStyle w:val="Tijeloteksta"/>
        <w:rPr>
          <w:sz w:val="24"/>
          <w:szCs w:val="24"/>
        </w:rPr>
      </w:pPr>
      <w:r w:rsidRPr="008957AF">
        <w:rPr>
          <w:sz w:val="24"/>
          <w:szCs w:val="24"/>
        </w:rPr>
        <w:t>Članak 1.</w:t>
      </w:r>
      <w:r w:rsidR="008957AF">
        <w:rPr>
          <w:sz w:val="24"/>
          <w:szCs w:val="24"/>
        </w:rPr>
        <w:t xml:space="preserve"> </w:t>
      </w:r>
    </w:p>
    <w:p w14:paraId="5EEE8245" w14:textId="34BB6507" w:rsidR="00C0739A" w:rsidRPr="008957AF" w:rsidRDefault="002C74E7" w:rsidP="008957AF">
      <w:pPr>
        <w:pStyle w:val="Tijeloteksta"/>
        <w:jc w:val="both"/>
        <w:rPr>
          <w:color w:val="231F20"/>
          <w:sz w:val="24"/>
          <w:szCs w:val="24"/>
        </w:rPr>
      </w:pPr>
      <w:r w:rsidRPr="008957AF">
        <w:rPr>
          <w:sz w:val="24"/>
          <w:szCs w:val="24"/>
        </w:rPr>
        <w:tab/>
      </w:r>
      <w:r w:rsidRPr="008957AF">
        <w:rPr>
          <w:sz w:val="24"/>
          <w:szCs w:val="24"/>
        </w:rPr>
        <w:tab/>
      </w:r>
    </w:p>
    <w:p w14:paraId="7F0878C3" w14:textId="0328DDCE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 xml:space="preserve">Ovom Odlukom uređuju se opći uvjeti, mjere i postupak za dodjelu bespovratnih novčanih sredstava (u daljnjem tekstu: poticaj) mladim obiteljima (u daljnjem tekstu: korisnici poticaja) za kupnju nekretnina na  području </w:t>
      </w:r>
      <w:r w:rsidR="00421D96">
        <w:rPr>
          <w:rFonts w:ascii="Arial" w:hAnsi="Arial" w:cs="Arial"/>
          <w:color w:val="231F20"/>
          <w:szCs w:val="24"/>
        </w:rPr>
        <w:t>m</w:t>
      </w:r>
      <w:r w:rsidRPr="008957AF">
        <w:rPr>
          <w:rFonts w:ascii="Arial" w:hAnsi="Arial" w:cs="Arial"/>
          <w:color w:val="231F20"/>
          <w:szCs w:val="24"/>
        </w:rPr>
        <w:t>jesnih odbora Grada Čakovca te se uređuju prava i obveze korisnika poticaja.</w:t>
      </w:r>
    </w:p>
    <w:p w14:paraId="030DE008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46584AE1" w14:textId="79451CC9" w:rsidR="00C0739A" w:rsidRDefault="00C0739A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8957AF">
        <w:rPr>
          <w:rFonts w:ascii="Arial" w:hAnsi="Arial" w:cs="Arial"/>
          <w:b/>
          <w:bCs/>
          <w:color w:val="231F20"/>
          <w:szCs w:val="24"/>
        </w:rPr>
        <w:t>Članak 2.</w:t>
      </w:r>
      <w:r w:rsidR="008957AF">
        <w:rPr>
          <w:rFonts w:ascii="Arial" w:hAnsi="Arial" w:cs="Arial"/>
          <w:b/>
          <w:bCs/>
          <w:color w:val="231F20"/>
          <w:szCs w:val="24"/>
        </w:rPr>
        <w:t xml:space="preserve"> </w:t>
      </w:r>
    </w:p>
    <w:p w14:paraId="71A59B56" w14:textId="77777777" w:rsidR="008957AF" w:rsidRPr="008957AF" w:rsidRDefault="008957AF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443D6784" w14:textId="085C05F3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FF000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 xml:space="preserve">Grad Čakovec će korisnicima poticaja koji su tijekom tekuće kalendarske godine kupili nekretninu na području </w:t>
      </w:r>
      <w:r w:rsidR="00421D96">
        <w:rPr>
          <w:rFonts w:ascii="Arial" w:hAnsi="Arial" w:cs="Arial"/>
          <w:color w:val="231F20"/>
          <w:szCs w:val="24"/>
        </w:rPr>
        <w:t>m</w:t>
      </w:r>
      <w:r w:rsidRPr="008957AF">
        <w:rPr>
          <w:rFonts w:ascii="Arial" w:hAnsi="Arial" w:cs="Arial"/>
          <w:color w:val="231F20"/>
          <w:szCs w:val="24"/>
        </w:rPr>
        <w:t xml:space="preserve">jesnih odbora Grada Čakovca dodijeliti poticaj u iznosu od najviše 50.000,00 kuna. </w:t>
      </w:r>
      <w:r w:rsidRPr="008957AF">
        <w:rPr>
          <w:rFonts w:ascii="Arial" w:hAnsi="Arial" w:cs="Arial"/>
          <w:szCs w:val="24"/>
        </w:rPr>
        <w:t xml:space="preserve">Kupljena nekretnina u trenutku prijave na javni natječaj mora biti u vlasništvu prijavitelja (prijavitelji mogu biti bračni ili izvanbračnom drugovi zajedno). </w:t>
      </w:r>
      <w:r w:rsidR="008957AF">
        <w:rPr>
          <w:rFonts w:ascii="Arial" w:hAnsi="Arial" w:cs="Arial"/>
          <w:szCs w:val="24"/>
        </w:rPr>
        <w:t xml:space="preserve"> </w:t>
      </w:r>
    </w:p>
    <w:p w14:paraId="02B91244" w14:textId="77777777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 xml:space="preserve">Sredstva iz prethodnog stavka dodjeljivat će se prema kriterijima: </w:t>
      </w:r>
    </w:p>
    <w:p w14:paraId="10FE6FFB" w14:textId="38166000" w:rsidR="00C0739A" w:rsidRPr="008957AF" w:rsidRDefault="00C0739A" w:rsidP="008957AF">
      <w:pPr>
        <w:pStyle w:val="Odlomakpopisa"/>
        <w:numPr>
          <w:ilvl w:val="0"/>
          <w:numId w:val="5"/>
        </w:numPr>
        <w:shd w:val="clear" w:color="auto" w:fill="FEFEFE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prebivalište na području Grada Čakovca,</w:t>
      </w:r>
    </w:p>
    <w:p w14:paraId="0C1AA949" w14:textId="2C44DF7A" w:rsidR="00C0739A" w:rsidRPr="008957AF" w:rsidRDefault="00C0739A" w:rsidP="008957AF">
      <w:pPr>
        <w:pStyle w:val="Odlomakpopisa"/>
        <w:numPr>
          <w:ilvl w:val="0"/>
          <w:numId w:val="5"/>
        </w:numPr>
        <w:shd w:val="clear" w:color="auto" w:fill="FEFEFE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broj djece koja će živjeti u zajedničkom kućanstvu sa prijaviteljem,</w:t>
      </w:r>
    </w:p>
    <w:p w14:paraId="75DD095E" w14:textId="2E28D868" w:rsidR="00C0739A" w:rsidRPr="008957AF" w:rsidRDefault="00C0739A" w:rsidP="008957AF">
      <w:pPr>
        <w:pStyle w:val="Odlomakpopisa"/>
        <w:numPr>
          <w:ilvl w:val="0"/>
          <w:numId w:val="5"/>
        </w:numPr>
        <w:shd w:val="clear" w:color="auto" w:fill="FEFEFE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imovinski status.</w:t>
      </w:r>
      <w:r w:rsidR="008957AF">
        <w:rPr>
          <w:rFonts w:ascii="Arial" w:hAnsi="Arial" w:cs="Arial"/>
          <w:szCs w:val="24"/>
        </w:rPr>
        <w:t xml:space="preserve"> </w:t>
      </w:r>
    </w:p>
    <w:p w14:paraId="3BBD4FAA" w14:textId="77777777" w:rsidR="00C0739A" w:rsidRPr="008957AF" w:rsidRDefault="00C0739A" w:rsidP="008957AF">
      <w:pPr>
        <w:shd w:val="clear" w:color="auto" w:fill="FEFEFE"/>
        <w:ind w:firstLine="360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Odobrena sredstva poticaja doznačuju se na račun podnositelja prijave korisnika poticaja (u daljnjem tekstu: Prijavitelj).</w:t>
      </w:r>
    </w:p>
    <w:p w14:paraId="68A5F19D" w14:textId="77777777" w:rsidR="00C0739A" w:rsidRPr="008957AF" w:rsidRDefault="00C0739A" w:rsidP="008957AF">
      <w:pPr>
        <w:shd w:val="clear" w:color="auto" w:fill="FEFEFE"/>
        <w:ind w:firstLine="360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Poticaj po ovoj Odluci se može ostvariti samo jedanput.</w:t>
      </w:r>
    </w:p>
    <w:p w14:paraId="41331177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5F31DE9E" w14:textId="7002CA65" w:rsidR="00C0739A" w:rsidRDefault="00C0739A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8957AF">
        <w:rPr>
          <w:rFonts w:ascii="Arial" w:hAnsi="Arial" w:cs="Arial"/>
          <w:b/>
          <w:bCs/>
          <w:color w:val="231F20"/>
          <w:szCs w:val="24"/>
        </w:rPr>
        <w:t>Članak 3.</w:t>
      </w:r>
    </w:p>
    <w:p w14:paraId="361B82DF" w14:textId="77777777" w:rsidR="008957AF" w:rsidRPr="008957AF" w:rsidRDefault="008957AF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17362BD1" w14:textId="76AA5569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 xml:space="preserve">Pravo na ostvarivanje poticaja iz članka 2. ove Odluke imaju korisnici poticaja do navršene 40 godine života za kupljenu nekretninu za području </w:t>
      </w:r>
      <w:r w:rsidR="00B11B43">
        <w:rPr>
          <w:rFonts w:ascii="Arial" w:hAnsi="Arial" w:cs="Arial"/>
          <w:color w:val="231F20"/>
          <w:szCs w:val="24"/>
        </w:rPr>
        <w:t>m</w:t>
      </w:r>
      <w:r w:rsidRPr="008957AF">
        <w:rPr>
          <w:rFonts w:ascii="Arial" w:hAnsi="Arial" w:cs="Arial"/>
          <w:color w:val="231F20"/>
          <w:szCs w:val="24"/>
        </w:rPr>
        <w:t>jesnih odbora Grada Čakovca. Prijavitelj i bračni ili izvanbračni drug prijavitelja ne smiju imati u vlasništvu/suvlasništvu stan, kuću, kuću za odmor ili drugu nekretninu pogodnu za stanovanje.</w:t>
      </w:r>
    </w:p>
    <w:p w14:paraId="143BB14B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510D3ED8" w14:textId="58787A5B" w:rsidR="00C0739A" w:rsidRDefault="00C0739A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8957AF">
        <w:rPr>
          <w:rFonts w:ascii="Arial" w:hAnsi="Arial" w:cs="Arial"/>
          <w:b/>
          <w:bCs/>
          <w:color w:val="231F20"/>
          <w:szCs w:val="24"/>
        </w:rPr>
        <w:t>Članak 4.</w:t>
      </w:r>
    </w:p>
    <w:p w14:paraId="20FACAA1" w14:textId="77777777" w:rsidR="008957AF" w:rsidRPr="008957AF" w:rsidRDefault="008957AF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0430D1F1" w14:textId="77777777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Korisnici poticaja iz ove Odluke imaju slijedeću obvezu:</w:t>
      </w:r>
    </w:p>
    <w:p w14:paraId="5FF2CC7C" w14:textId="306D6103" w:rsidR="00C0739A" w:rsidRPr="008957AF" w:rsidRDefault="00C0739A" w:rsidP="008957AF">
      <w:pPr>
        <w:pStyle w:val="Odlomakpopisa"/>
        <w:numPr>
          <w:ilvl w:val="0"/>
          <w:numId w:val="7"/>
        </w:numPr>
        <w:shd w:val="clear" w:color="auto" w:fill="FEFEFE"/>
        <w:jc w:val="both"/>
        <w:rPr>
          <w:rFonts w:ascii="Arial" w:hAnsi="Arial" w:cs="Arial"/>
          <w:sz w:val="24"/>
          <w:szCs w:val="24"/>
        </w:rPr>
      </w:pPr>
      <w:r w:rsidRPr="008957AF">
        <w:rPr>
          <w:rFonts w:ascii="Arial" w:hAnsi="Arial" w:cs="Arial"/>
          <w:sz w:val="24"/>
          <w:szCs w:val="24"/>
        </w:rPr>
        <w:t>prebivalište prijavitelja te svih članova zajedničkog domaćinstva (koji će živjeti u nekretnini za čiju kupnju se traži poticaj) mora biti na adresi nekretnine za čiju kupnju se traži poticaj, ukoliko je odmah useljiva,</w:t>
      </w:r>
    </w:p>
    <w:p w14:paraId="009BAB42" w14:textId="5320F0EC" w:rsidR="00C0739A" w:rsidRPr="008957AF" w:rsidRDefault="00C0739A" w:rsidP="008957AF">
      <w:pPr>
        <w:pStyle w:val="Odlomakpopisa"/>
        <w:numPr>
          <w:ilvl w:val="0"/>
          <w:numId w:val="7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8957AF">
        <w:rPr>
          <w:rFonts w:ascii="Arial" w:hAnsi="Arial" w:cs="Arial"/>
          <w:color w:val="231F20"/>
          <w:sz w:val="24"/>
          <w:szCs w:val="24"/>
        </w:rPr>
        <w:t xml:space="preserve">korisnik poticaja, bračni ili izvanbračni drug, djeca koja će živjeti u zajedničkom kućanstvu sa prijaviteljem moraju u roku od 2 godine nakon </w:t>
      </w:r>
      <w:r w:rsidRPr="008957AF">
        <w:rPr>
          <w:rFonts w:ascii="Arial" w:hAnsi="Arial" w:cs="Arial"/>
          <w:sz w:val="24"/>
          <w:szCs w:val="24"/>
        </w:rPr>
        <w:t>odobrenja poticaja</w:t>
      </w:r>
      <w:r w:rsidRPr="008957AF">
        <w:rPr>
          <w:rFonts w:ascii="Arial" w:hAnsi="Arial" w:cs="Arial"/>
          <w:color w:val="231F20"/>
          <w:sz w:val="24"/>
          <w:szCs w:val="24"/>
        </w:rPr>
        <w:t>, prijaviti prebivalište na adresi nekretnine za koju je odobren poticaj, ukoliko je kupljenu nekretninu potrebno adaptirati te moraju zadržati prebivalište neprekinuto sljedećih 10 godina bez promjene.</w:t>
      </w:r>
    </w:p>
    <w:p w14:paraId="6F05C044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4AADE0DF" w14:textId="31C7675A" w:rsidR="00C0739A" w:rsidRDefault="00C0739A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8957AF">
        <w:rPr>
          <w:rFonts w:ascii="Arial" w:hAnsi="Arial" w:cs="Arial"/>
          <w:b/>
          <w:bCs/>
          <w:color w:val="231F20"/>
          <w:szCs w:val="24"/>
        </w:rPr>
        <w:lastRenderedPageBreak/>
        <w:t>Članak 5.</w:t>
      </w:r>
    </w:p>
    <w:p w14:paraId="49D4A476" w14:textId="77777777" w:rsidR="008957AF" w:rsidRPr="008957AF" w:rsidRDefault="008957AF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0B98AD3F" w14:textId="7DB6289E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Poticaji po ovoj Odluci dodjeljuju se na temelju javnog natječaja koji raspisuje Gradonačelnica u pravilu jednom godišnje na kraju kalendarske godine za tekuću godinu.</w:t>
      </w:r>
      <w:r w:rsidR="008957AF">
        <w:rPr>
          <w:rFonts w:ascii="Arial" w:hAnsi="Arial" w:cs="Arial"/>
          <w:color w:val="231F20"/>
          <w:szCs w:val="24"/>
        </w:rPr>
        <w:t xml:space="preserve"> </w:t>
      </w:r>
    </w:p>
    <w:p w14:paraId="7B3B0261" w14:textId="77777777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Natječaj za dodjelu poticaja objavljuje se u lokalnom listu i na internetskoj stranici Grada Čakovca i traje najmanje 15 dana od dana objave.</w:t>
      </w:r>
    </w:p>
    <w:p w14:paraId="21D741CB" w14:textId="42C0E33F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Natječaj za dodjelu poticaja sadrži</w:t>
      </w:r>
      <w:r w:rsidR="008957AF">
        <w:rPr>
          <w:rFonts w:ascii="Arial" w:hAnsi="Arial" w:cs="Arial"/>
          <w:color w:val="231F20"/>
          <w:szCs w:val="24"/>
        </w:rPr>
        <w:t xml:space="preserve">: </w:t>
      </w:r>
    </w:p>
    <w:p w14:paraId="5A03DAA4" w14:textId="5347CE93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opće uvjete i kriterije za dodjelu poticaja,</w:t>
      </w:r>
    </w:p>
    <w:p w14:paraId="60E7B3DF" w14:textId="564E29B7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visinu poticaja,</w:t>
      </w:r>
    </w:p>
    <w:p w14:paraId="33EC5A3D" w14:textId="29ECF456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popis dokumentacije koju treba dostaviti,</w:t>
      </w:r>
    </w:p>
    <w:p w14:paraId="0D4EA30A" w14:textId="22C0AC71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naziv tijela kome se prijave podnose,</w:t>
      </w:r>
    </w:p>
    <w:p w14:paraId="1CD1780C" w14:textId="743A466A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rok za dostavu prijave,</w:t>
      </w:r>
    </w:p>
    <w:p w14:paraId="2AF72DCA" w14:textId="3C86697F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rok u kojem će biti objavljeni rezultati natječaja,</w:t>
      </w:r>
    </w:p>
    <w:p w14:paraId="67A47885" w14:textId="253C1EC2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napomena da se nepotpune i nepravodobno podnesene prijave neće razmatrati.</w:t>
      </w:r>
      <w:r w:rsidR="00713354" w:rsidRPr="00713354">
        <w:rPr>
          <w:rFonts w:ascii="Arial" w:hAnsi="Arial" w:cs="Arial"/>
          <w:color w:val="231F20"/>
          <w:sz w:val="24"/>
          <w:szCs w:val="24"/>
        </w:rPr>
        <w:t xml:space="preserve"> </w:t>
      </w:r>
    </w:p>
    <w:p w14:paraId="2BB073DD" w14:textId="77777777" w:rsidR="00C0739A" w:rsidRPr="00713354" w:rsidRDefault="00C0739A" w:rsidP="00713354">
      <w:pPr>
        <w:shd w:val="clear" w:color="auto" w:fill="FEFEFE"/>
        <w:ind w:left="360" w:firstLine="348"/>
        <w:jc w:val="both"/>
        <w:rPr>
          <w:rFonts w:ascii="Arial" w:hAnsi="Arial" w:cs="Arial"/>
          <w:color w:val="231F20"/>
          <w:szCs w:val="24"/>
        </w:rPr>
      </w:pPr>
      <w:r w:rsidRPr="00713354">
        <w:rPr>
          <w:rFonts w:ascii="Arial" w:hAnsi="Arial" w:cs="Arial"/>
          <w:color w:val="231F20"/>
          <w:szCs w:val="24"/>
        </w:rPr>
        <w:t>Za sudjelovanje u natječaju uz prijavu treba dostaviti slijedeću dokumentaciju:</w:t>
      </w:r>
    </w:p>
    <w:p w14:paraId="2B59AE31" w14:textId="31BDD8AC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pisani zahtjev/prijavu za dodjelu poticaja,</w:t>
      </w:r>
    </w:p>
    <w:p w14:paraId="2A7C5D87" w14:textId="69F4F3F7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 xml:space="preserve">presliku važeće osobne iskaznice ili druge identifikacijske isprave </w:t>
      </w:r>
      <w:r w:rsidRPr="00713354">
        <w:rPr>
          <w:rFonts w:ascii="Arial" w:hAnsi="Arial" w:cs="Arial"/>
          <w:sz w:val="24"/>
          <w:szCs w:val="24"/>
        </w:rPr>
        <w:t>prijavitelja i svih članova domaćinstva koji će živjeti u nekretnini za koju se traži poticaj za kupnju,</w:t>
      </w:r>
    </w:p>
    <w:p w14:paraId="001CC1B7" w14:textId="7F159AE1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presliku kupoprodajnog ugovora za nekretninu za koju se traži poticaj koji je ovjeren kod javnog bilježnika,</w:t>
      </w:r>
    </w:p>
    <w:p w14:paraId="6A402966" w14:textId="57D206BB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zemljišno-knjižni izvadak za predmetnu nekretninu,</w:t>
      </w:r>
    </w:p>
    <w:p w14:paraId="3A81166F" w14:textId="6B84A920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posjedovni list za predmetnu nekretninu,</w:t>
      </w:r>
    </w:p>
    <w:p w14:paraId="0546632A" w14:textId="5FE6DD2B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uvjerenje općinskog suda da ima/nema u vlasništvu/suvlasništvu nekretninu (i za bračnog/izvanbračnog druga)</w:t>
      </w:r>
    </w:p>
    <w:p w14:paraId="7856F6A1" w14:textId="0E74C009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izjavu da prijavitelj i bračni ili izvanbračni drug prijavitelja</w:t>
      </w:r>
      <w:r w:rsidRPr="00713354">
        <w:rPr>
          <w:rFonts w:ascii="Arial" w:hAnsi="Arial" w:cs="Arial"/>
          <w:sz w:val="24"/>
          <w:szCs w:val="24"/>
        </w:rPr>
        <w:t xml:space="preserve"> te niti jedan član domaćinstva koji će živjeti s njima u nekretnini za koju se traži poticaj, </w:t>
      </w:r>
      <w:r w:rsidRPr="00713354">
        <w:rPr>
          <w:rFonts w:ascii="Arial" w:hAnsi="Arial" w:cs="Arial"/>
          <w:color w:val="231F20"/>
          <w:sz w:val="24"/>
          <w:szCs w:val="24"/>
        </w:rPr>
        <w:t>nemaju u svojem vlasništvu/suvlasništvu stan, kuću ili kuću za odmor ili drugu nekretninu pogodnu za stanovanje, ovjerenu od strane javnog bilježnika,</w:t>
      </w:r>
    </w:p>
    <w:p w14:paraId="3B407D6B" w14:textId="4D232400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>rješenje porezne uprave o utvrđivanju poreza na promet nekretnina za traženu nekretninu i dokaz da je iznos naveden u rješenju plaćen u cijelosti,</w:t>
      </w:r>
    </w:p>
    <w:p w14:paraId="34184052" w14:textId="1DC688B3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sz w:val="24"/>
          <w:szCs w:val="24"/>
        </w:rPr>
      </w:pPr>
      <w:r w:rsidRPr="00713354">
        <w:rPr>
          <w:rFonts w:ascii="Arial" w:hAnsi="Arial" w:cs="Arial"/>
          <w:sz w:val="24"/>
          <w:szCs w:val="24"/>
        </w:rPr>
        <w:t>isplatna lista za isplaćenu plaću (zadnje 3) za sebe i bračnog i/ili izvanbračnog druga koje će živjeti s njim u zajedničkom kućanstvu na nekretnini za koju se traži poticaj,</w:t>
      </w:r>
    </w:p>
    <w:p w14:paraId="21686A73" w14:textId="23EBA662" w:rsidR="00C0739A" w:rsidRPr="00713354" w:rsidRDefault="00C0739A" w:rsidP="008957AF">
      <w:pPr>
        <w:pStyle w:val="Odlomakpopisa"/>
        <w:numPr>
          <w:ilvl w:val="0"/>
          <w:numId w:val="8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713354">
        <w:rPr>
          <w:rFonts w:ascii="Arial" w:hAnsi="Arial" w:cs="Arial"/>
          <w:color w:val="231F20"/>
          <w:sz w:val="24"/>
          <w:szCs w:val="24"/>
        </w:rPr>
        <w:t xml:space="preserve">podatke o bankovnom računu </w:t>
      </w:r>
      <w:r w:rsidRPr="00713354">
        <w:rPr>
          <w:rFonts w:ascii="Arial" w:hAnsi="Arial" w:cs="Arial"/>
          <w:sz w:val="24"/>
          <w:szCs w:val="24"/>
        </w:rPr>
        <w:t>korisnika poticaja.</w:t>
      </w:r>
    </w:p>
    <w:p w14:paraId="3DC87D64" w14:textId="7CDABF06" w:rsidR="00C0739A" w:rsidRPr="008957AF" w:rsidRDefault="00C0739A" w:rsidP="008957AF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 xml:space="preserve">U slučaju potrebe, Povjerenstvo za dodjelu poticaja može od </w:t>
      </w:r>
      <w:r w:rsidRPr="008957AF">
        <w:rPr>
          <w:rFonts w:ascii="Arial" w:hAnsi="Arial" w:cs="Arial"/>
          <w:szCs w:val="24"/>
        </w:rPr>
        <w:t xml:space="preserve">korisnika poticaja </w:t>
      </w:r>
      <w:r w:rsidRPr="008957AF">
        <w:rPr>
          <w:rFonts w:ascii="Arial" w:hAnsi="Arial" w:cs="Arial"/>
          <w:color w:val="231F20"/>
          <w:szCs w:val="24"/>
        </w:rPr>
        <w:t>zatražiti dodatnu dokumentaciju.</w:t>
      </w:r>
      <w:r w:rsidR="008957AF">
        <w:rPr>
          <w:rFonts w:ascii="Arial" w:hAnsi="Arial" w:cs="Arial"/>
          <w:color w:val="231F20"/>
          <w:szCs w:val="24"/>
        </w:rPr>
        <w:t xml:space="preserve"> </w:t>
      </w:r>
    </w:p>
    <w:p w14:paraId="4F7F4755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60E07832" w14:textId="33F7263B" w:rsidR="00C0739A" w:rsidRPr="00713354" w:rsidRDefault="00C0739A" w:rsidP="008957AF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713354">
        <w:rPr>
          <w:rFonts w:ascii="Arial" w:hAnsi="Arial" w:cs="Arial"/>
          <w:b/>
          <w:bCs/>
          <w:color w:val="231F20"/>
          <w:szCs w:val="24"/>
        </w:rPr>
        <w:t>Članak 6.</w:t>
      </w:r>
      <w:r w:rsidR="00713354">
        <w:rPr>
          <w:rFonts w:ascii="Arial" w:hAnsi="Arial" w:cs="Arial"/>
          <w:b/>
          <w:bCs/>
          <w:color w:val="231F20"/>
          <w:szCs w:val="24"/>
        </w:rPr>
        <w:t xml:space="preserve"> </w:t>
      </w:r>
    </w:p>
    <w:p w14:paraId="1E6FFAB8" w14:textId="77777777" w:rsidR="00C0739A" w:rsidRPr="008957AF" w:rsidRDefault="00C0739A" w:rsidP="00713354">
      <w:pPr>
        <w:shd w:val="clear" w:color="auto" w:fill="FEFEFE"/>
        <w:ind w:firstLine="708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Odobravanje zahtjeva za mjere iz ove Odluke obavlja se na temelju liste prvenstva utvrđenoj prema uvjetima i mjerilima iz ove Odluke.</w:t>
      </w:r>
    </w:p>
    <w:p w14:paraId="48F2358B" w14:textId="67DEE65E" w:rsidR="00C0739A" w:rsidRPr="008957AF" w:rsidRDefault="00C0739A" w:rsidP="00713354">
      <w:pPr>
        <w:shd w:val="clear" w:color="auto" w:fill="FEFEFE"/>
        <w:ind w:firstLine="708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Lista prvenstva iz st</w:t>
      </w:r>
      <w:r w:rsidR="00713354">
        <w:rPr>
          <w:rFonts w:ascii="Arial" w:hAnsi="Arial" w:cs="Arial"/>
          <w:szCs w:val="24"/>
        </w:rPr>
        <w:t>avka</w:t>
      </w:r>
      <w:r w:rsidRPr="008957AF">
        <w:rPr>
          <w:rFonts w:ascii="Arial" w:hAnsi="Arial" w:cs="Arial"/>
          <w:szCs w:val="24"/>
        </w:rPr>
        <w:t xml:space="preserve"> 1. ovog članka utvrđuje se na temelju provedenog javnog natječaja.</w:t>
      </w:r>
    </w:p>
    <w:p w14:paraId="0EFCE107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szCs w:val="24"/>
        </w:rPr>
      </w:pPr>
    </w:p>
    <w:p w14:paraId="1651809E" w14:textId="45747FCE" w:rsidR="00C0739A" w:rsidRDefault="00C0739A" w:rsidP="00713354">
      <w:pPr>
        <w:shd w:val="clear" w:color="auto" w:fill="FEFEFE"/>
        <w:jc w:val="center"/>
        <w:rPr>
          <w:rFonts w:ascii="Arial" w:hAnsi="Arial" w:cs="Arial"/>
          <w:b/>
          <w:bCs/>
          <w:szCs w:val="24"/>
        </w:rPr>
      </w:pPr>
      <w:r w:rsidRPr="00713354">
        <w:rPr>
          <w:rFonts w:ascii="Arial" w:hAnsi="Arial" w:cs="Arial"/>
          <w:b/>
          <w:bCs/>
          <w:szCs w:val="24"/>
        </w:rPr>
        <w:t>Članak 7.</w:t>
      </w:r>
    </w:p>
    <w:p w14:paraId="2157D4A2" w14:textId="77777777" w:rsidR="00802100" w:rsidRPr="00713354" w:rsidRDefault="00802100" w:rsidP="00713354">
      <w:pPr>
        <w:shd w:val="clear" w:color="auto" w:fill="FEFEFE"/>
        <w:jc w:val="center"/>
        <w:rPr>
          <w:rFonts w:ascii="Arial" w:hAnsi="Arial" w:cs="Arial"/>
          <w:b/>
          <w:bCs/>
          <w:szCs w:val="24"/>
        </w:rPr>
      </w:pPr>
    </w:p>
    <w:p w14:paraId="4FBFF448" w14:textId="6D388E3F" w:rsidR="00C0739A" w:rsidRPr="008957AF" w:rsidRDefault="00C0739A" w:rsidP="00713354">
      <w:pPr>
        <w:shd w:val="clear" w:color="auto" w:fill="FEFEFE"/>
        <w:ind w:firstLine="360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Lista prvenstva utvrđuje se na temelju bodovanja slijedećih mjerila:</w:t>
      </w:r>
      <w:r w:rsidR="00713354">
        <w:rPr>
          <w:rFonts w:ascii="Arial" w:hAnsi="Arial" w:cs="Arial"/>
          <w:szCs w:val="24"/>
        </w:rPr>
        <w:t xml:space="preserve"> </w:t>
      </w:r>
    </w:p>
    <w:p w14:paraId="120B418E" w14:textId="77777777" w:rsidR="00C0739A" w:rsidRPr="008957AF" w:rsidRDefault="00C0739A" w:rsidP="00C0739A">
      <w:pPr>
        <w:pStyle w:val="Odlomakpopisa"/>
        <w:numPr>
          <w:ilvl w:val="0"/>
          <w:numId w:val="1"/>
        </w:numPr>
        <w:shd w:val="clear" w:color="auto" w:fill="FEFEFE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957AF">
        <w:rPr>
          <w:rFonts w:ascii="Arial" w:eastAsia="Times New Roman" w:hAnsi="Arial" w:cs="Arial"/>
          <w:sz w:val="24"/>
          <w:szCs w:val="24"/>
          <w:lang w:eastAsia="hr-HR"/>
        </w:rPr>
        <w:t>dužina prebivališta na području Grada Čakovca,</w:t>
      </w:r>
    </w:p>
    <w:p w14:paraId="54DE9E6E" w14:textId="77777777" w:rsidR="00C0739A" w:rsidRPr="008957AF" w:rsidRDefault="00C0739A" w:rsidP="00C0739A">
      <w:pPr>
        <w:pStyle w:val="Odlomakpopisa"/>
        <w:numPr>
          <w:ilvl w:val="0"/>
          <w:numId w:val="1"/>
        </w:numPr>
        <w:shd w:val="clear" w:color="auto" w:fill="FEFEFE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957AF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broj djece, </w:t>
      </w:r>
    </w:p>
    <w:p w14:paraId="7B70C47D" w14:textId="77777777" w:rsidR="00C0739A" w:rsidRPr="008957AF" w:rsidRDefault="00C0739A" w:rsidP="00C0739A">
      <w:pPr>
        <w:pStyle w:val="Odlomakpopisa"/>
        <w:numPr>
          <w:ilvl w:val="0"/>
          <w:numId w:val="1"/>
        </w:numPr>
        <w:shd w:val="clear" w:color="auto" w:fill="FEFEFE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957AF">
        <w:rPr>
          <w:rFonts w:ascii="Arial" w:eastAsia="Times New Roman" w:hAnsi="Arial" w:cs="Arial"/>
          <w:sz w:val="24"/>
          <w:szCs w:val="24"/>
          <w:lang w:eastAsia="hr-HR"/>
        </w:rPr>
        <w:t>imovinske stanje.</w:t>
      </w:r>
    </w:p>
    <w:p w14:paraId="302EEA25" w14:textId="77777777" w:rsidR="00C0739A" w:rsidRPr="008957AF" w:rsidRDefault="00C0739A" w:rsidP="00C0739A">
      <w:pPr>
        <w:pStyle w:val="Odlomakpopisa"/>
        <w:shd w:val="clear" w:color="auto" w:fill="FEFEFE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12D9554D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i/>
          <w:iCs/>
          <w:szCs w:val="24"/>
          <w:u w:val="single"/>
        </w:rPr>
      </w:pPr>
      <w:r w:rsidRPr="008957AF">
        <w:rPr>
          <w:rFonts w:ascii="Arial" w:hAnsi="Arial" w:cs="Arial"/>
          <w:i/>
          <w:iCs/>
          <w:szCs w:val="24"/>
          <w:u w:val="single"/>
        </w:rPr>
        <w:t>Dužina prebivališta  na području Grada Čakovca</w:t>
      </w:r>
    </w:p>
    <w:p w14:paraId="36AA25DE" w14:textId="2DB5E885" w:rsidR="00C0739A" w:rsidRDefault="00C0739A" w:rsidP="00C0739A">
      <w:pPr>
        <w:shd w:val="clear" w:color="auto" w:fill="FEFEFE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 xml:space="preserve">- za svaku godinu neprekidnog prebivališta prijavitelja na području Grada Čakovca dodjeljuje se 1 bod. </w:t>
      </w:r>
    </w:p>
    <w:p w14:paraId="36A603DE" w14:textId="77777777" w:rsidR="00713354" w:rsidRPr="008957AF" w:rsidRDefault="00713354" w:rsidP="00C0739A">
      <w:pPr>
        <w:shd w:val="clear" w:color="auto" w:fill="FEFEFE"/>
        <w:jc w:val="both"/>
        <w:rPr>
          <w:rFonts w:ascii="Arial" w:hAnsi="Arial" w:cs="Arial"/>
          <w:szCs w:val="24"/>
        </w:rPr>
      </w:pPr>
    </w:p>
    <w:p w14:paraId="387B86A6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i/>
          <w:iCs/>
          <w:szCs w:val="24"/>
          <w:u w:val="single"/>
        </w:rPr>
      </w:pPr>
      <w:r w:rsidRPr="008957AF">
        <w:rPr>
          <w:rFonts w:ascii="Arial" w:hAnsi="Arial" w:cs="Arial"/>
          <w:i/>
          <w:iCs/>
          <w:szCs w:val="24"/>
          <w:u w:val="single"/>
        </w:rPr>
        <w:t>Broj djece</w:t>
      </w:r>
    </w:p>
    <w:p w14:paraId="75E94F57" w14:textId="77777777" w:rsidR="00C0739A" w:rsidRPr="008957AF" w:rsidRDefault="00C0739A" w:rsidP="00C0739A">
      <w:pPr>
        <w:pStyle w:val="Odlomakpopisa"/>
        <w:numPr>
          <w:ilvl w:val="0"/>
          <w:numId w:val="2"/>
        </w:numPr>
        <w:shd w:val="clear" w:color="auto" w:fill="FEFEFE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957AF">
        <w:rPr>
          <w:rFonts w:ascii="Arial" w:eastAsia="Times New Roman" w:hAnsi="Arial" w:cs="Arial"/>
          <w:sz w:val="24"/>
          <w:szCs w:val="24"/>
          <w:lang w:eastAsia="hr-HR"/>
        </w:rPr>
        <w:t>za svako dijete koje će živjeti u zajedničkom kućanstvu sa prijaviteljem na adresi kupljene nekretnine za koju se traži poticaj dodjeljuje se 2 boda.</w:t>
      </w:r>
    </w:p>
    <w:p w14:paraId="1295AFEC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FF0000"/>
          <w:szCs w:val="24"/>
        </w:rPr>
      </w:pPr>
    </w:p>
    <w:p w14:paraId="138AB931" w14:textId="19EF356A" w:rsidR="00C0739A" w:rsidRDefault="00C0739A" w:rsidP="00C0739A">
      <w:pPr>
        <w:shd w:val="clear" w:color="auto" w:fill="FEFEFE"/>
        <w:jc w:val="both"/>
        <w:rPr>
          <w:rFonts w:ascii="Arial" w:hAnsi="Arial" w:cs="Arial"/>
          <w:i/>
          <w:iCs/>
          <w:szCs w:val="24"/>
          <w:u w:val="single"/>
        </w:rPr>
      </w:pPr>
      <w:r w:rsidRPr="008957AF">
        <w:rPr>
          <w:rFonts w:ascii="Arial" w:hAnsi="Arial" w:cs="Arial"/>
          <w:i/>
          <w:iCs/>
          <w:szCs w:val="24"/>
          <w:u w:val="single"/>
        </w:rPr>
        <w:t>Imovinski stanje</w:t>
      </w:r>
    </w:p>
    <w:p w14:paraId="08E0EE37" w14:textId="77777777" w:rsidR="00713354" w:rsidRPr="008957AF" w:rsidRDefault="00713354" w:rsidP="00C0739A">
      <w:pPr>
        <w:shd w:val="clear" w:color="auto" w:fill="FEFEFE"/>
        <w:jc w:val="both"/>
        <w:rPr>
          <w:rFonts w:ascii="Arial" w:hAnsi="Arial" w:cs="Arial"/>
          <w:i/>
          <w:iCs/>
          <w:szCs w:val="24"/>
          <w:u w:val="single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37"/>
        <w:gridCol w:w="5076"/>
      </w:tblGrid>
      <w:tr w:rsidR="00C0739A" w:rsidRPr="008957AF" w14:paraId="0426596F" w14:textId="77777777" w:rsidTr="0071335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5914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BODOVA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2AA9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MJESEČNA PRIMANJA SVIH ČLANOVA KUĆANSTVA</w:t>
            </w:r>
          </w:p>
        </w:tc>
      </w:tr>
      <w:tr w:rsidR="00C0739A" w:rsidRPr="008957AF" w14:paraId="30891CC5" w14:textId="77777777" w:rsidTr="0071335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A81A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4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0CD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 6.000,00 KN</w:t>
            </w:r>
          </w:p>
        </w:tc>
      </w:tr>
      <w:tr w:rsidR="00C0739A" w:rsidRPr="008957AF" w14:paraId="7F8A3828" w14:textId="77777777" w:rsidTr="0071335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724F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F1C6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 6.001,00 DO 8.000,00 KN</w:t>
            </w:r>
          </w:p>
        </w:tc>
      </w:tr>
      <w:tr w:rsidR="00C0739A" w:rsidRPr="008957AF" w14:paraId="31388A5B" w14:textId="77777777" w:rsidTr="0071335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40DA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E1CF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 8.001,00 DO 10.000,00 KN</w:t>
            </w:r>
          </w:p>
        </w:tc>
      </w:tr>
      <w:tr w:rsidR="00C0739A" w:rsidRPr="008957AF" w14:paraId="101427F2" w14:textId="77777777" w:rsidTr="0071335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9BD3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D488" w14:textId="77777777" w:rsidR="00C0739A" w:rsidRPr="008957AF" w:rsidRDefault="00C0739A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957A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 10.001,00 KN</w:t>
            </w:r>
          </w:p>
        </w:tc>
      </w:tr>
    </w:tbl>
    <w:p w14:paraId="5BE21457" w14:textId="77777777" w:rsidR="00C0739A" w:rsidRPr="008957AF" w:rsidRDefault="00C0739A" w:rsidP="00C0739A">
      <w:pPr>
        <w:pStyle w:val="Odlomakpopisa"/>
        <w:shd w:val="clear" w:color="auto" w:fill="FEFEFE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957A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</w:t>
      </w:r>
    </w:p>
    <w:p w14:paraId="0B3340EC" w14:textId="1628F458" w:rsidR="00C0739A" w:rsidRPr="008957AF" w:rsidRDefault="00C0739A" w:rsidP="00713354">
      <w:pPr>
        <w:shd w:val="clear" w:color="auto" w:fill="FEFEFE"/>
        <w:ind w:firstLine="708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Minimalan iznos poticaja koji korisnik poticaja može ostvariti je 30.000,00 kuna za ostvarenih 1, 2 ili 3 boda, a maksimalan iznos poticaja koji korisnik može ostvariti je 50.000,00 kuna za više od 4 boda.</w:t>
      </w:r>
      <w:r w:rsidR="008E4253">
        <w:rPr>
          <w:rFonts w:ascii="Arial" w:hAnsi="Arial" w:cs="Arial"/>
          <w:szCs w:val="24"/>
        </w:rPr>
        <w:t xml:space="preserve">  </w:t>
      </w:r>
    </w:p>
    <w:p w14:paraId="484E661D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szCs w:val="24"/>
        </w:rPr>
      </w:pPr>
    </w:p>
    <w:p w14:paraId="02B05236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Prikaz: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0739A" w:rsidRPr="008957AF" w14:paraId="35FC24BD" w14:textId="77777777" w:rsidTr="00C0739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95C4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ODOBRENA SREDSTVA POTICAJA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6A3A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BROJ OSTVARENIH BODOVA</w:t>
            </w:r>
          </w:p>
        </w:tc>
      </w:tr>
      <w:tr w:rsidR="00C0739A" w:rsidRPr="008957AF" w14:paraId="654C8E85" w14:textId="77777777" w:rsidTr="00C0739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2F45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30.000,00 KN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1DEA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 xml:space="preserve">1-3 </w:t>
            </w:r>
          </w:p>
        </w:tc>
      </w:tr>
      <w:tr w:rsidR="00C0739A" w:rsidRPr="008957AF" w14:paraId="376DF8EA" w14:textId="77777777" w:rsidTr="00C0739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F8A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40.000,00 KN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D833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4</w:t>
            </w:r>
          </w:p>
        </w:tc>
      </w:tr>
      <w:tr w:rsidR="00C0739A" w:rsidRPr="008957AF" w14:paraId="3B692255" w14:textId="77777777" w:rsidTr="00C0739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016D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50.000,00 KN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2F6" w14:textId="77777777" w:rsidR="00C0739A" w:rsidRPr="008957AF" w:rsidRDefault="00C0739A">
            <w:pPr>
              <w:jc w:val="both"/>
              <w:rPr>
                <w:rFonts w:ascii="Arial" w:hAnsi="Arial" w:cs="Arial"/>
                <w:szCs w:val="24"/>
              </w:rPr>
            </w:pPr>
            <w:r w:rsidRPr="008957AF">
              <w:rPr>
                <w:rFonts w:ascii="Arial" w:hAnsi="Arial" w:cs="Arial"/>
                <w:szCs w:val="24"/>
              </w:rPr>
              <w:t>˃ 4</w:t>
            </w:r>
          </w:p>
        </w:tc>
      </w:tr>
    </w:tbl>
    <w:p w14:paraId="4B56DDFC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szCs w:val="24"/>
        </w:rPr>
      </w:pPr>
    </w:p>
    <w:p w14:paraId="5E8EF4D8" w14:textId="3745E988" w:rsidR="00C0739A" w:rsidRDefault="00C0739A" w:rsidP="004F289D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4F289D">
        <w:rPr>
          <w:rFonts w:ascii="Arial" w:hAnsi="Arial" w:cs="Arial"/>
          <w:b/>
          <w:bCs/>
          <w:color w:val="231F20"/>
          <w:szCs w:val="24"/>
        </w:rPr>
        <w:t>Članak 8.</w:t>
      </w:r>
    </w:p>
    <w:p w14:paraId="101CCCD8" w14:textId="77777777" w:rsidR="004F289D" w:rsidRPr="004F289D" w:rsidRDefault="004F289D" w:rsidP="004F289D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2D53FCAE" w14:textId="77777777" w:rsidR="00C0739A" w:rsidRPr="008957AF" w:rsidRDefault="00C0739A" w:rsidP="004F289D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Nakon provedenog natječaja, Povjerenstvo za dodjelu poticaja (u daljnjem tekstu: Povjerenstvo) koje se sastoji od pet članova (predsjednika i 4 člana) i koje imenuje Gradonačelnica, razmatra prijave na natječaj za dodjelu poticaja, boduje prijave u skladu s kriterijima utvrđenim u ovoj Odluci i predlaže Gradonačelnici listu korisnika poticaja.</w:t>
      </w:r>
    </w:p>
    <w:p w14:paraId="0A115C82" w14:textId="27222290" w:rsidR="00C0739A" w:rsidRPr="008957AF" w:rsidRDefault="00C0739A" w:rsidP="00A640C6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Na temelju prijedloga Povjerenstva, Gradonačelnica donosi Odluku o dodjeli poticaja.</w:t>
      </w:r>
      <w:r w:rsidR="00A640C6">
        <w:rPr>
          <w:rFonts w:ascii="Arial" w:hAnsi="Arial" w:cs="Arial"/>
          <w:color w:val="231F20"/>
          <w:szCs w:val="24"/>
        </w:rPr>
        <w:t xml:space="preserve"> </w:t>
      </w:r>
    </w:p>
    <w:p w14:paraId="57168AAB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16D298BE" w14:textId="6394B664" w:rsidR="00C0739A" w:rsidRDefault="00C0739A" w:rsidP="00A640C6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A640C6">
        <w:rPr>
          <w:rFonts w:ascii="Arial" w:hAnsi="Arial" w:cs="Arial"/>
          <w:b/>
          <w:bCs/>
          <w:color w:val="231F20"/>
          <w:szCs w:val="24"/>
        </w:rPr>
        <w:t>Članak 9.</w:t>
      </w:r>
    </w:p>
    <w:p w14:paraId="5B26107D" w14:textId="77777777" w:rsidR="00A640C6" w:rsidRPr="00A640C6" w:rsidRDefault="00A640C6" w:rsidP="00A640C6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283A639A" w14:textId="77777777" w:rsidR="00C0739A" w:rsidRPr="008957AF" w:rsidRDefault="00C0739A" w:rsidP="00A640C6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 xml:space="preserve">Nakon donošenja Odluke o dodjeli poticaja, </w:t>
      </w:r>
      <w:r w:rsidRPr="008957AF">
        <w:rPr>
          <w:rFonts w:ascii="Arial" w:hAnsi="Arial" w:cs="Arial"/>
          <w:szCs w:val="24"/>
        </w:rPr>
        <w:t xml:space="preserve">korisnik poticaja </w:t>
      </w:r>
      <w:r w:rsidRPr="008957AF">
        <w:rPr>
          <w:rFonts w:ascii="Arial" w:hAnsi="Arial" w:cs="Arial"/>
          <w:color w:val="231F20"/>
          <w:szCs w:val="24"/>
        </w:rPr>
        <w:t>i Grad Čakovec zaključuju ugovor koji najmanje sadrži:</w:t>
      </w:r>
    </w:p>
    <w:p w14:paraId="630BD5B9" w14:textId="176C2F70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t>podatke o ugovornim stranama,</w:t>
      </w:r>
    </w:p>
    <w:p w14:paraId="5812FEAF" w14:textId="639FF655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t>podaci o nekretnini,</w:t>
      </w:r>
    </w:p>
    <w:p w14:paraId="6BC16FAA" w14:textId="2FCB859A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t>iznos poticaja,</w:t>
      </w:r>
    </w:p>
    <w:p w14:paraId="76E5C2C4" w14:textId="2D74FD02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t>prava i obveze ugovornih strana,</w:t>
      </w:r>
    </w:p>
    <w:p w14:paraId="676DDCB3" w14:textId="3267A254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t>način vraćanja poticaja u slučaju nepoštivanja ugovornih obveza,</w:t>
      </w:r>
    </w:p>
    <w:p w14:paraId="7CB8B6D6" w14:textId="0E5E3A2C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lastRenderedPageBreak/>
        <w:t>privolu prijavitelja da se njegovi podaci (ime i prezime i adresa nekretnine za koju je dobiven poticaj objave u medijima javnog priopćavanja u svrhu informiranja javnosti o trošenju proračunskih sredstava),</w:t>
      </w:r>
    </w:p>
    <w:p w14:paraId="554B1A97" w14:textId="2AF0136B" w:rsidR="00C0739A" w:rsidRPr="00A640C6" w:rsidRDefault="00C0739A" w:rsidP="00A640C6">
      <w:pPr>
        <w:pStyle w:val="Odlomakpopisa"/>
        <w:numPr>
          <w:ilvl w:val="0"/>
          <w:numId w:val="9"/>
        </w:numPr>
        <w:shd w:val="clear" w:color="auto" w:fill="FEFEFE"/>
        <w:jc w:val="both"/>
        <w:rPr>
          <w:rFonts w:ascii="Arial" w:hAnsi="Arial" w:cs="Arial"/>
          <w:color w:val="231F20"/>
          <w:sz w:val="24"/>
          <w:szCs w:val="24"/>
        </w:rPr>
      </w:pPr>
      <w:r w:rsidRPr="00A640C6">
        <w:rPr>
          <w:rFonts w:ascii="Arial" w:hAnsi="Arial" w:cs="Arial"/>
          <w:color w:val="231F20"/>
          <w:sz w:val="24"/>
          <w:szCs w:val="24"/>
        </w:rPr>
        <w:t>ostale kriterije, prave i obveze ugovornih strana.</w:t>
      </w:r>
    </w:p>
    <w:p w14:paraId="3D47ED98" w14:textId="60918870" w:rsidR="00C0739A" w:rsidRPr="008957AF" w:rsidRDefault="00C0739A" w:rsidP="00A640C6">
      <w:pPr>
        <w:shd w:val="clear" w:color="auto" w:fill="FEFEFE"/>
        <w:ind w:firstLine="360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Ugovor se zaključuje kao ovršna isprava.</w:t>
      </w:r>
      <w:r w:rsidR="00A640C6">
        <w:rPr>
          <w:rFonts w:ascii="Arial" w:hAnsi="Arial" w:cs="Arial"/>
          <w:color w:val="231F20"/>
          <w:szCs w:val="24"/>
        </w:rPr>
        <w:t xml:space="preserve"> </w:t>
      </w:r>
    </w:p>
    <w:p w14:paraId="0B72B8CA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4B27C552" w14:textId="07ED8351" w:rsidR="00C0739A" w:rsidRDefault="00C0739A" w:rsidP="00A640C6">
      <w:pPr>
        <w:shd w:val="clear" w:color="auto" w:fill="FEFEFE"/>
        <w:jc w:val="center"/>
        <w:rPr>
          <w:rFonts w:ascii="Arial" w:hAnsi="Arial" w:cs="Arial"/>
          <w:color w:val="231F20"/>
          <w:szCs w:val="24"/>
        </w:rPr>
      </w:pPr>
      <w:r w:rsidRPr="00A640C6">
        <w:rPr>
          <w:rFonts w:ascii="Arial" w:hAnsi="Arial" w:cs="Arial"/>
          <w:b/>
          <w:bCs/>
          <w:color w:val="231F20"/>
          <w:szCs w:val="24"/>
        </w:rPr>
        <w:t>Članak 10</w:t>
      </w:r>
      <w:r w:rsidRPr="008957AF">
        <w:rPr>
          <w:rFonts w:ascii="Arial" w:hAnsi="Arial" w:cs="Arial"/>
          <w:color w:val="231F20"/>
          <w:szCs w:val="24"/>
        </w:rPr>
        <w:t>.</w:t>
      </w:r>
      <w:r w:rsidR="00A640C6">
        <w:rPr>
          <w:rFonts w:ascii="Arial" w:hAnsi="Arial" w:cs="Arial"/>
          <w:color w:val="231F20"/>
          <w:szCs w:val="24"/>
        </w:rPr>
        <w:t xml:space="preserve"> </w:t>
      </w:r>
    </w:p>
    <w:p w14:paraId="3DD36FED" w14:textId="77777777" w:rsidR="00802100" w:rsidRPr="008957AF" w:rsidRDefault="00802100" w:rsidP="00A640C6">
      <w:pPr>
        <w:shd w:val="clear" w:color="auto" w:fill="FEFEFE"/>
        <w:jc w:val="center"/>
        <w:rPr>
          <w:rFonts w:ascii="Arial" w:hAnsi="Arial" w:cs="Arial"/>
          <w:color w:val="231F20"/>
          <w:szCs w:val="24"/>
        </w:rPr>
      </w:pPr>
    </w:p>
    <w:p w14:paraId="4FC9AD82" w14:textId="77777777" w:rsidR="00C0739A" w:rsidRPr="008957AF" w:rsidRDefault="00C0739A" w:rsidP="00A640C6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 xml:space="preserve">Kao garanciju za ispunjenje uvjeta iz ove Odluke, </w:t>
      </w:r>
      <w:r w:rsidRPr="008957AF">
        <w:rPr>
          <w:rFonts w:ascii="Arial" w:hAnsi="Arial" w:cs="Arial"/>
          <w:szCs w:val="24"/>
        </w:rPr>
        <w:t xml:space="preserve">prijavitelj </w:t>
      </w:r>
      <w:r w:rsidRPr="008957AF">
        <w:rPr>
          <w:rFonts w:ascii="Arial" w:hAnsi="Arial" w:cs="Arial"/>
          <w:color w:val="231F20"/>
          <w:szCs w:val="24"/>
        </w:rPr>
        <w:t>prije zaključenja ugovora iz članka 9. ove Odluke, mora dostaviti Gradu Čakovcu bjanko zadužnicu najmanje u vrijednosti dodijeljenog poticaja ovjerenu kod javnog bilježnika.</w:t>
      </w:r>
    </w:p>
    <w:p w14:paraId="07124273" w14:textId="3C0D6E14" w:rsidR="00C0739A" w:rsidRPr="008957AF" w:rsidRDefault="00C0739A" w:rsidP="00A640C6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Prijavitelj je dužan na zahtjev Grada Čakovca dostaviti dokaze o ispunjavanju uvjeta koje proizlaze iz ove Odluke.</w:t>
      </w:r>
      <w:r w:rsidR="00A640C6">
        <w:rPr>
          <w:rFonts w:ascii="Arial" w:hAnsi="Arial" w:cs="Arial"/>
          <w:color w:val="231F20"/>
          <w:szCs w:val="24"/>
        </w:rPr>
        <w:t xml:space="preserve"> </w:t>
      </w:r>
    </w:p>
    <w:p w14:paraId="628BF0AB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2D9CC77C" w14:textId="7379BC17" w:rsidR="00C0739A" w:rsidRDefault="00C0739A" w:rsidP="00A640C6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A640C6">
        <w:rPr>
          <w:rFonts w:ascii="Arial" w:hAnsi="Arial" w:cs="Arial"/>
          <w:b/>
          <w:bCs/>
          <w:color w:val="231F20"/>
          <w:szCs w:val="24"/>
        </w:rPr>
        <w:t>Članak 11.</w:t>
      </w:r>
    </w:p>
    <w:p w14:paraId="2031A995" w14:textId="77777777" w:rsidR="00802100" w:rsidRPr="00A640C6" w:rsidRDefault="00802100" w:rsidP="00A640C6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</w:p>
    <w:p w14:paraId="729DA115" w14:textId="77777777" w:rsidR="00C0739A" w:rsidRPr="008957AF" w:rsidRDefault="00C0739A" w:rsidP="00A640C6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Evidenciju o dodijeljenim poticajima vodit će nadležni upravni odjel.</w:t>
      </w:r>
    </w:p>
    <w:p w14:paraId="243995F2" w14:textId="77777777" w:rsidR="00C0739A" w:rsidRPr="008957AF" w:rsidRDefault="00C0739A" w:rsidP="00C0739A">
      <w:pPr>
        <w:shd w:val="clear" w:color="auto" w:fill="FEFEFE"/>
        <w:jc w:val="both"/>
        <w:rPr>
          <w:rFonts w:ascii="Arial" w:hAnsi="Arial" w:cs="Arial"/>
          <w:color w:val="231F20"/>
          <w:szCs w:val="24"/>
        </w:rPr>
      </w:pPr>
    </w:p>
    <w:p w14:paraId="503A2D5E" w14:textId="1BE3D152" w:rsidR="00C0739A" w:rsidRDefault="00C0739A" w:rsidP="00A640C6">
      <w:pPr>
        <w:shd w:val="clear" w:color="auto" w:fill="FEFEFE"/>
        <w:jc w:val="center"/>
        <w:rPr>
          <w:rFonts w:ascii="Arial" w:hAnsi="Arial" w:cs="Arial"/>
          <w:b/>
          <w:bCs/>
          <w:color w:val="231F20"/>
          <w:szCs w:val="24"/>
        </w:rPr>
      </w:pPr>
      <w:r w:rsidRPr="00A640C6">
        <w:rPr>
          <w:rFonts w:ascii="Arial" w:hAnsi="Arial" w:cs="Arial"/>
          <w:b/>
          <w:bCs/>
          <w:color w:val="231F20"/>
          <w:szCs w:val="24"/>
        </w:rPr>
        <w:t>Članak 12.</w:t>
      </w:r>
      <w:r w:rsidR="00802100">
        <w:rPr>
          <w:rFonts w:ascii="Arial" w:hAnsi="Arial" w:cs="Arial"/>
          <w:b/>
          <w:bCs/>
          <w:color w:val="231F20"/>
          <w:szCs w:val="24"/>
        </w:rPr>
        <w:t xml:space="preserve"> </w:t>
      </w:r>
    </w:p>
    <w:p w14:paraId="147C920F" w14:textId="108AA029" w:rsidR="00802100" w:rsidRDefault="00802100" w:rsidP="00802100">
      <w:pPr>
        <w:shd w:val="clear" w:color="auto" w:fill="FEFEFE"/>
        <w:spacing w:before="100" w:beforeAutospacing="1" w:after="100" w:afterAutospacing="1"/>
        <w:ind w:firstLine="708"/>
        <w:jc w:val="both"/>
        <w:rPr>
          <w:rFonts w:ascii="Arial" w:hAnsi="Arial" w:cs="Arial"/>
          <w:color w:val="231F20"/>
          <w:szCs w:val="24"/>
        </w:rPr>
      </w:pPr>
      <w:r w:rsidRPr="00802100">
        <w:rPr>
          <w:rFonts w:ascii="Arial" w:hAnsi="Arial" w:cs="Arial"/>
          <w:color w:val="231F20"/>
          <w:szCs w:val="24"/>
        </w:rPr>
        <w:t xml:space="preserve">Ovlašćuje se Gradonačelnica </w:t>
      </w:r>
      <w:r w:rsidR="00873F29">
        <w:rPr>
          <w:rFonts w:ascii="Arial" w:hAnsi="Arial" w:cs="Arial"/>
          <w:color w:val="231F20"/>
          <w:szCs w:val="24"/>
        </w:rPr>
        <w:t xml:space="preserve">Grada Čakovca </w:t>
      </w:r>
      <w:r w:rsidRPr="00802100">
        <w:rPr>
          <w:rFonts w:ascii="Arial" w:hAnsi="Arial" w:cs="Arial"/>
          <w:color w:val="231F20"/>
          <w:szCs w:val="24"/>
        </w:rPr>
        <w:t xml:space="preserve">na raspisivanje Javnog natječaja  iz </w:t>
      </w:r>
      <w:r w:rsidRPr="00802100">
        <w:rPr>
          <w:rFonts w:ascii="Arial" w:hAnsi="Arial" w:cs="Arial"/>
          <w:szCs w:val="24"/>
        </w:rPr>
        <w:t xml:space="preserve">članka 5. </w:t>
      </w:r>
      <w:r w:rsidRPr="00802100">
        <w:rPr>
          <w:rFonts w:ascii="Arial" w:hAnsi="Arial" w:cs="Arial"/>
          <w:color w:val="231F20"/>
          <w:szCs w:val="24"/>
        </w:rPr>
        <w:t xml:space="preserve">ove Odluke, na imenovanje članova Povjerenstva za dodjelu poticaja kao i na donošenje Odluke o dodjeli poticaja </w:t>
      </w:r>
      <w:r w:rsidRPr="00802100">
        <w:rPr>
          <w:rFonts w:ascii="Arial" w:hAnsi="Arial" w:cs="Arial"/>
          <w:szCs w:val="24"/>
        </w:rPr>
        <w:t xml:space="preserve">iz članka 8. </w:t>
      </w:r>
      <w:r w:rsidRPr="00802100">
        <w:rPr>
          <w:rFonts w:ascii="Arial" w:hAnsi="Arial" w:cs="Arial"/>
          <w:color w:val="231F20"/>
          <w:szCs w:val="24"/>
        </w:rPr>
        <w:t>ove</w:t>
      </w:r>
      <w:r w:rsidRPr="00802100">
        <w:rPr>
          <w:rFonts w:ascii="Arial" w:hAnsi="Arial" w:cs="Arial"/>
          <w:color w:val="FF0000"/>
          <w:szCs w:val="24"/>
        </w:rPr>
        <w:t xml:space="preserve"> </w:t>
      </w:r>
      <w:r w:rsidRPr="00802100">
        <w:rPr>
          <w:rFonts w:ascii="Arial" w:hAnsi="Arial" w:cs="Arial"/>
          <w:color w:val="231F20"/>
          <w:szCs w:val="24"/>
        </w:rPr>
        <w:t xml:space="preserve">Odluke te zaključenje ugovora sa </w:t>
      </w:r>
      <w:r w:rsidRPr="00802100">
        <w:rPr>
          <w:rFonts w:ascii="Arial" w:hAnsi="Arial" w:cs="Arial"/>
          <w:szCs w:val="24"/>
        </w:rPr>
        <w:t xml:space="preserve">korisnicima poticaja </w:t>
      </w:r>
      <w:r w:rsidRPr="00802100">
        <w:rPr>
          <w:rFonts w:ascii="Arial" w:hAnsi="Arial" w:cs="Arial"/>
          <w:color w:val="231F20"/>
          <w:szCs w:val="24"/>
        </w:rPr>
        <w:t xml:space="preserve">iz </w:t>
      </w:r>
      <w:r w:rsidRPr="00802100">
        <w:rPr>
          <w:rFonts w:ascii="Arial" w:hAnsi="Arial" w:cs="Arial"/>
          <w:szCs w:val="24"/>
        </w:rPr>
        <w:t xml:space="preserve">članka 9. </w:t>
      </w:r>
      <w:r w:rsidRPr="00802100">
        <w:rPr>
          <w:rFonts w:ascii="Arial" w:hAnsi="Arial" w:cs="Arial"/>
          <w:color w:val="231F20"/>
          <w:szCs w:val="24"/>
        </w:rPr>
        <w:t>ove Odluke.</w:t>
      </w:r>
      <w:r>
        <w:rPr>
          <w:rFonts w:ascii="Arial" w:hAnsi="Arial" w:cs="Arial"/>
          <w:color w:val="231F20"/>
          <w:szCs w:val="24"/>
        </w:rPr>
        <w:t xml:space="preserve"> </w:t>
      </w:r>
    </w:p>
    <w:p w14:paraId="3142CCA3" w14:textId="2317624A" w:rsidR="00802100" w:rsidRPr="00A640C6" w:rsidRDefault="00802100" w:rsidP="00802100">
      <w:pPr>
        <w:shd w:val="clear" w:color="auto" w:fill="FEFEFE"/>
        <w:spacing w:before="100" w:beforeAutospacing="1" w:after="100" w:afterAutospacing="1"/>
        <w:jc w:val="center"/>
        <w:rPr>
          <w:rFonts w:ascii="Arial" w:hAnsi="Arial" w:cs="Arial"/>
          <w:b/>
          <w:bCs/>
          <w:color w:val="231F20"/>
          <w:szCs w:val="24"/>
        </w:rPr>
      </w:pPr>
      <w:r>
        <w:rPr>
          <w:rFonts w:ascii="Arial" w:hAnsi="Arial" w:cs="Arial"/>
          <w:b/>
          <w:bCs/>
          <w:color w:val="231F20"/>
          <w:szCs w:val="24"/>
        </w:rPr>
        <w:t xml:space="preserve">Članak 13. </w:t>
      </w:r>
    </w:p>
    <w:p w14:paraId="62EB61C9" w14:textId="6EBE39FA" w:rsidR="00C0739A" w:rsidRPr="008957AF" w:rsidRDefault="00C0739A" w:rsidP="00A640C6">
      <w:pPr>
        <w:shd w:val="clear" w:color="auto" w:fill="FEFEFE"/>
        <w:ind w:firstLine="708"/>
        <w:jc w:val="both"/>
        <w:rPr>
          <w:rFonts w:ascii="Arial" w:hAnsi="Arial" w:cs="Arial"/>
          <w:color w:val="231F20"/>
          <w:szCs w:val="24"/>
        </w:rPr>
      </w:pPr>
      <w:r w:rsidRPr="008957AF">
        <w:rPr>
          <w:rFonts w:ascii="Arial" w:hAnsi="Arial" w:cs="Arial"/>
          <w:color w:val="231F20"/>
          <w:szCs w:val="24"/>
        </w:rPr>
        <w:t>Ova Odluka stupa na snagu osmog dana od dana objave u Službenom glasniku Grada Čakovca.</w:t>
      </w:r>
    </w:p>
    <w:p w14:paraId="6BD8136A" w14:textId="77777777" w:rsidR="00802100" w:rsidRDefault="00802100" w:rsidP="002C74E7">
      <w:pPr>
        <w:jc w:val="both"/>
        <w:rPr>
          <w:rFonts w:ascii="Arial" w:hAnsi="Arial" w:cs="Arial"/>
          <w:szCs w:val="24"/>
        </w:rPr>
      </w:pPr>
    </w:p>
    <w:p w14:paraId="71F50C91" w14:textId="53227464" w:rsidR="002C74E7" w:rsidRPr="008957AF" w:rsidRDefault="002C74E7" w:rsidP="002C74E7">
      <w:pPr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KLASA: 021-05/21-01/</w:t>
      </w:r>
      <w:r w:rsidR="00A640C6">
        <w:rPr>
          <w:rFonts w:ascii="Arial" w:hAnsi="Arial" w:cs="Arial"/>
          <w:szCs w:val="24"/>
        </w:rPr>
        <w:t>10</w:t>
      </w:r>
    </w:p>
    <w:p w14:paraId="60F010BB" w14:textId="049237BD" w:rsidR="002C74E7" w:rsidRPr="008957AF" w:rsidRDefault="002C74E7" w:rsidP="002C74E7">
      <w:pPr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URBROJ: 2109-2-02-22-0</w:t>
      </w:r>
      <w:r w:rsidR="003E3946">
        <w:rPr>
          <w:rFonts w:ascii="Arial" w:hAnsi="Arial" w:cs="Arial"/>
          <w:szCs w:val="24"/>
        </w:rPr>
        <w:t>2</w:t>
      </w:r>
    </w:p>
    <w:p w14:paraId="74BED216" w14:textId="77777777" w:rsidR="002C74E7" w:rsidRPr="008957AF" w:rsidRDefault="002C74E7" w:rsidP="002C74E7">
      <w:pPr>
        <w:jc w:val="both"/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>Čakovec, _________  2022.</w:t>
      </w:r>
    </w:p>
    <w:p w14:paraId="578E955F" w14:textId="77777777" w:rsidR="002C74E7" w:rsidRPr="008957AF" w:rsidRDefault="002C74E7" w:rsidP="002C74E7">
      <w:pPr>
        <w:jc w:val="both"/>
        <w:rPr>
          <w:rFonts w:ascii="Arial" w:hAnsi="Arial" w:cs="Arial"/>
          <w:szCs w:val="24"/>
        </w:rPr>
      </w:pPr>
    </w:p>
    <w:p w14:paraId="14052F43" w14:textId="77777777" w:rsidR="002C74E7" w:rsidRPr="008957AF" w:rsidRDefault="002C74E7" w:rsidP="002C74E7">
      <w:pPr>
        <w:ind w:left="3540" w:firstLine="708"/>
        <w:jc w:val="both"/>
        <w:rPr>
          <w:rFonts w:ascii="Arial" w:hAnsi="Arial" w:cs="Arial"/>
          <w:b/>
          <w:szCs w:val="24"/>
        </w:rPr>
      </w:pPr>
      <w:r w:rsidRPr="008957AF">
        <w:rPr>
          <w:rFonts w:ascii="Arial" w:hAnsi="Arial" w:cs="Arial"/>
          <w:b/>
          <w:szCs w:val="24"/>
        </w:rPr>
        <w:t>PREDSJEDNIK GRADSKOG VIJEĆA</w:t>
      </w:r>
    </w:p>
    <w:p w14:paraId="25F2D756" w14:textId="77777777" w:rsidR="002C74E7" w:rsidRPr="008957AF" w:rsidRDefault="002C74E7" w:rsidP="002C74E7">
      <w:pPr>
        <w:tabs>
          <w:tab w:val="left" w:pos="899"/>
        </w:tabs>
        <w:rPr>
          <w:rFonts w:ascii="Arial" w:hAnsi="Arial" w:cs="Arial"/>
          <w:szCs w:val="24"/>
        </w:rPr>
      </w:pPr>
      <w:r w:rsidRPr="008957AF">
        <w:rPr>
          <w:rFonts w:ascii="Arial" w:hAnsi="Arial" w:cs="Arial"/>
          <w:szCs w:val="24"/>
        </w:rPr>
        <w:tab/>
      </w:r>
      <w:r w:rsidRPr="008957AF">
        <w:rPr>
          <w:rFonts w:ascii="Arial" w:hAnsi="Arial" w:cs="Arial"/>
          <w:szCs w:val="24"/>
        </w:rPr>
        <w:tab/>
      </w:r>
      <w:r w:rsidRPr="008957AF">
        <w:rPr>
          <w:rFonts w:ascii="Arial" w:hAnsi="Arial" w:cs="Arial"/>
          <w:szCs w:val="24"/>
        </w:rPr>
        <w:tab/>
      </w:r>
      <w:r w:rsidRPr="008957AF">
        <w:rPr>
          <w:rFonts w:ascii="Arial" w:hAnsi="Arial" w:cs="Arial"/>
          <w:szCs w:val="24"/>
        </w:rPr>
        <w:tab/>
      </w:r>
      <w:r w:rsidRPr="008957AF">
        <w:rPr>
          <w:rFonts w:ascii="Arial" w:hAnsi="Arial" w:cs="Arial"/>
          <w:szCs w:val="24"/>
        </w:rPr>
        <w:tab/>
      </w:r>
      <w:r w:rsidRPr="008957AF">
        <w:rPr>
          <w:rFonts w:ascii="Arial" w:hAnsi="Arial" w:cs="Arial"/>
          <w:szCs w:val="24"/>
        </w:rPr>
        <w:tab/>
        <w:t>Darko Zver, mag. cin., v.r.</w:t>
      </w:r>
    </w:p>
    <w:p w14:paraId="703BC858" w14:textId="77777777" w:rsidR="002C74E7" w:rsidRPr="008957AF" w:rsidRDefault="002C74E7" w:rsidP="002C74E7">
      <w:pPr>
        <w:rPr>
          <w:rFonts w:ascii="Arial" w:hAnsi="Arial" w:cs="Arial"/>
          <w:szCs w:val="24"/>
        </w:rPr>
      </w:pPr>
    </w:p>
    <w:p w14:paraId="2120FAB9" w14:textId="77777777" w:rsidR="00146646" w:rsidRPr="008957AF" w:rsidRDefault="00146646">
      <w:pPr>
        <w:rPr>
          <w:rFonts w:ascii="Arial" w:hAnsi="Arial" w:cs="Arial"/>
          <w:szCs w:val="24"/>
        </w:rPr>
      </w:pPr>
    </w:p>
    <w:sectPr w:rsidR="00146646" w:rsidRPr="008957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4833" w14:textId="77777777" w:rsidR="00AD0AA5" w:rsidRDefault="00AD0AA5" w:rsidP="00802100">
      <w:r>
        <w:separator/>
      </w:r>
    </w:p>
  </w:endnote>
  <w:endnote w:type="continuationSeparator" w:id="0">
    <w:p w14:paraId="2467D976" w14:textId="77777777" w:rsidR="00AD0AA5" w:rsidRDefault="00AD0AA5" w:rsidP="0080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677874"/>
      <w:docPartObj>
        <w:docPartGallery w:val="Page Numbers (Bottom of Page)"/>
        <w:docPartUnique/>
      </w:docPartObj>
    </w:sdtPr>
    <w:sdtContent>
      <w:p w14:paraId="3EAC3F14" w14:textId="2B47A3CB" w:rsidR="00802100" w:rsidRDefault="008021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4F5E8" w14:textId="77777777" w:rsidR="00802100" w:rsidRDefault="008021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F005" w14:textId="77777777" w:rsidR="00AD0AA5" w:rsidRDefault="00AD0AA5" w:rsidP="00802100">
      <w:r>
        <w:separator/>
      </w:r>
    </w:p>
  </w:footnote>
  <w:footnote w:type="continuationSeparator" w:id="0">
    <w:p w14:paraId="7E4AC354" w14:textId="77777777" w:rsidR="00AD0AA5" w:rsidRDefault="00AD0AA5" w:rsidP="0080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6DFF"/>
    <w:multiLevelType w:val="hybridMultilevel"/>
    <w:tmpl w:val="F91EA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D6945"/>
    <w:multiLevelType w:val="hybridMultilevel"/>
    <w:tmpl w:val="8988ADD6"/>
    <w:lvl w:ilvl="0" w:tplc="71763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B22C0"/>
    <w:multiLevelType w:val="hybridMultilevel"/>
    <w:tmpl w:val="A8C05BDC"/>
    <w:lvl w:ilvl="0" w:tplc="71763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0665"/>
    <w:multiLevelType w:val="hybridMultilevel"/>
    <w:tmpl w:val="736EBF5E"/>
    <w:lvl w:ilvl="0" w:tplc="BAA24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55E77"/>
    <w:multiLevelType w:val="hybridMultilevel"/>
    <w:tmpl w:val="1B0614AE"/>
    <w:lvl w:ilvl="0" w:tplc="71763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604B5"/>
    <w:multiLevelType w:val="hybridMultilevel"/>
    <w:tmpl w:val="3822C8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3175"/>
    <w:multiLevelType w:val="hybridMultilevel"/>
    <w:tmpl w:val="473409A4"/>
    <w:lvl w:ilvl="0" w:tplc="71763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309F1"/>
    <w:multiLevelType w:val="hybridMultilevel"/>
    <w:tmpl w:val="2D1A9904"/>
    <w:lvl w:ilvl="0" w:tplc="71763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F4"/>
    <w:rsid w:val="00056B58"/>
    <w:rsid w:val="000C78CB"/>
    <w:rsid w:val="000D2CC9"/>
    <w:rsid w:val="000E3A4A"/>
    <w:rsid w:val="00146646"/>
    <w:rsid w:val="002B460F"/>
    <w:rsid w:val="002C74E7"/>
    <w:rsid w:val="0034458F"/>
    <w:rsid w:val="003E3946"/>
    <w:rsid w:val="003F5DF4"/>
    <w:rsid w:val="00421D96"/>
    <w:rsid w:val="004655DF"/>
    <w:rsid w:val="004F289D"/>
    <w:rsid w:val="005020B7"/>
    <w:rsid w:val="00713354"/>
    <w:rsid w:val="00780093"/>
    <w:rsid w:val="00802100"/>
    <w:rsid w:val="00873F29"/>
    <w:rsid w:val="008957AF"/>
    <w:rsid w:val="008E4253"/>
    <w:rsid w:val="009E672F"/>
    <w:rsid w:val="00A54F21"/>
    <w:rsid w:val="00A640C6"/>
    <w:rsid w:val="00AD0AA5"/>
    <w:rsid w:val="00AD2BEF"/>
    <w:rsid w:val="00B11B43"/>
    <w:rsid w:val="00C0739A"/>
    <w:rsid w:val="00C313B5"/>
    <w:rsid w:val="00D93C6D"/>
    <w:rsid w:val="00EF32DE"/>
    <w:rsid w:val="00F22990"/>
    <w:rsid w:val="00F549F9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BB93"/>
  <w15:chartTrackingRefBased/>
  <w15:docId w15:val="{406766D8-8873-43A7-9E8C-0335C2C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C74E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2C74E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0739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C073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21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210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21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10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13</cp:revision>
  <cp:lastPrinted>2022-02-08T11:02:00Z</cp:lastPrinted>
  <dcterms:created xsi:type="dcterms:W3CDTF">2022-02-07T08:51:00Z</dcterms:created>
  <dcterms:modified xsi:type="dcterms:W3CDTF">2022-02-08T11:03:00Z</dcterms:modified>
</cp:coreProperties>
</file>