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4F8" w:rsidRPr="003354F8" w:rsidRDefault="00B218CC" w:rsidP="003354F8">
      <w:pPr>
        <w:pStyle w:val="Tijeloteksta"/>
        <w:jc w:val="right"/>
        <w:rPr>
          <w:b/>
        </w:rPr>
      </w:pPr>
      <w:bookmarkStart w:id="0" w:name="_GoBack"/>
      <w:bookmarkEnd w:id="0"/>
      <w:r>
        <w:tab/>
      </w:r>
      <w:r w:rsidR="003354F8" w:rsidRPr="003354F8">
        <w:rPr>
          <w:b/>
        </w:rPr>
        <w:t>PRIJEDLOG</w:t>
      </w:r>
    </w:p>
    <w:p w:rsidR="009A100E" w:rsidRDefault="003354F8" w:rsidP="003354F8">
      <w:pPr>
        <w:pStyle w:val="Tijeloteksta"/>
      </w:pPr>
      <w:r w:rsidRPr="003354F8">
        <w:rPr>
          <w:b/>
        </w:rPr>
        <w:tab/>
      </w:r>
      <w:r>
        <w:tab/>
      </w:r>
      <w:r w:rsidR="00B218CC">
        <w:t xml:space="preserve">Na temelju odredbe članka </w:t>
      </w:r>
      <w:r w:rsidR="009A100E">
        <w:t>8</w:t>
      </w:r>
      <w:r w:rsidR="00B218CC">
        <w:t>6</w:t>
      </w:r>
      <w:r w:rsidR="009A100E">
        <w:t>. Zakona o prostornom uređenju (</w:t>
      </w:r>
      <w:r w:rsidR="0013510F">
        <w:t>„</w:t>
      </w:r>
      <w:r w:rsidR="009A100E">
        <w:t>Narodne novine</w:t>
      </w:r>
      <w:r w:rsidR="0013510F">
        <w:t>“</w:t>
      </w:r>
      <w:r w:rsidR="009A100E">
        <w:t xml:space="preserve"> br. </w:t>
      </w:r>
      <w:r w:rsidR="006B7D4E">
        <w:t>153/13</w:t>
      </w:r>
      <w:r w:rsidR="0013510F">
        <w:t xml:space="preserve"> i 65/17</w:t>
      </w:r>
      <w:r w:rsidR="006F38F6">
        <w:t>) te odredbe čl. 27.</w:t>
      </w:r>
      <w:r w:rsidR="00B218CC">
        <w:t xml:space="preserve"> </w:t>
      </w:r>
      <w:r w:rsidR="009A100E">
        <w:t xml:space="preserve">Statuta Grada Čakovca (Službeni glasnik Grada Čakovca, br. </w:t>
      </w:r>
      <w:r w:rsidR="00B218CC">
        <w:t>9/09, 2/13, 3/13 i 3/13-pročišćeni tekst</w:t>
      </w:r>
      <w:r w:rsidR="006F38F6">
        <w:t>, 1/14</w:t>
      </w:r>
      <w:r w:rsidR="009A100E">
        <w:t xml:space="preserve">), Gradsko vijeće Grada Čakovca </w:t>
      </w:r>
      <w:r w:rsidR="006F38F6">
        <w:t xml:space="preserve">je </w:t>
      </w:r>
      <w:r w:rsidR="009A100E">
        <w:t>na svoj</w:t>
      </w:r>
      <w:r w:rsidR="00B218CC">
        <w:t>oj __. sjed</w:t>
      </w:r>
      <w:r w:rsidR="0034538C">
        <w:t>nici održanoj dana __</w:t>
      </w:r>
      <w:r w:rsidR="009A100E">
        <w:t xml:space="preserve">. </w:t>
      </w:r>
      <w:r w:rsidR="0013510F">
        <w:t>studenog 2017</w:t>
      </w:r>
      <w:r w:rsidR="006F38F6">
        <w:t>., donijelo</w:t>
      </w:r>
    </w:p>
    <w:p w:rsidR="009A100E" w:rsidRDefault="009A100E">
      <w:pPr>
        <w:jc w:val="both"/>
        <w:rPr>
          <w:rFonts w:ascii="Arial" w:hAnsi="Arial"/>
          <w:lang w:val="hr-HR"/>
        </w:rPr>
      </w:pPr>
    </w:p>
    <w:p w:rsidR="009A100E" w:rsidRPr="008A6782" w:rsidRDefault="009A100E">
      <w:pPr>
        <w:jc w:val="center"/>
        <w:rPr>
          <w:rFonts w:ascii="Arial" w:hAnsi="Arial"/>
          <w:b/>
          <w:i/>
          <w:sz w:val="24"/>
          <w:szCs w:val="24"/>
          <w:lang w:val="hr-HR"/>
        </w:rPr>
      </w:pPr>
      <w:r w:rsidRPr="008A6782">
        <w:rPr>
          <w:rFonts w:ascii="Arial" w:hAnsi="Arial"/>
          <w:b/>
          <w:i/>
          <w:sz w:val="24"/>
          <w:szCs w:val="24"/>
          <w:lang w:val="hr-HR"/>
        </w:rPr>
        <w:t>ODLUKU</w:t>
      </w:r>
    </w:p>
    <w:p w:rsidR="009A100E" w:rsidRPr="008A6782" w:rsidRDefault="009A100E">
      <w:pPr>
        <w:jc w:val="center"/>
        <w:rPr>
          <w:rFonts w:ascii="Arial" w:hAnsi="Arial"/>
          <w:b/>
          <w:i/>
          <w:sz w:val="24"/>
          <w:szCs w:val="24"/>
          <w:lang w:val="hr-HR"/>
        </w:rPr>
      </w:pPr>
      <w:r w:rsidRPr="008A6782">
        <w:rPr>
          <w:rFonts w:ascii="Arial" w:hAnsi="Arial"/>
          <w:b/>
          <w:i/>
          <w:sz w:val="24"/>
          <w:szCs w:val="24"/>
          <w:lang w:val="hr-HR"/>
        </w:rPr>
        <w:t xml:space="preserve">O IZRADI </w:t>
      </w:r>
      <w:r w:rsidR="00B218CC" w:rsidRPr="008A6782">
        <w:rPr>
          <w:rFonts w:ascii="Arial" w:hAnsi="Arial"/>
          <w:b/>
          <w:i/>
          <w:sz w:val="24"/>
          <w:szCs w:val="24"/>
          <w:lang w:val="hr-HR"/>
        </w:rPr>
        <w:t xml:space="preserve">URBANISTIČKOG PLANA UREĐENJA </w:t>
      </w:r>
      <w:r w:rsidR="0034538C" w:rsidRPr="008A6782">
        <w:rPr>
          <w:rFonts w:ascii="Arial" w:hAnsi="Arial"/>
          <w:b/>
          <w:i/>
          <w:sz w:val="24"/>
          <w:szCs w:val="24"/>
          <w:lang w:val="hr-HR"/>
        </w:rPr>
        <w:t>KOMPLEKSA</w:t>
      </w:r>
      <w:r w:rsidR="00B218CC" w:rsidRPr="008A6782">
        <w:rPr>
          <w:rFonts w:ascii="Arial" w:hAnsi="Arial"/>
          <w:b/>
          <w:i/>
          <w:sz w:val="24"/>
          <w:szCs w:val="24"/>
          <w:lang w:val="hr-HR"/>
        </w:rPr>
        <w:t xml:space="preserve"> </w:t>
      </w:r>
      <w:r w:rsidR="0034538C" w:rsidRPr="008A6782">
        <w:rPr>
          <w:rFonts w:ascii="Arial" w:hAnsi="Arial"/>
          <w:b/>
          <w:i/>
          <w:sz w:val="24"/>
          <w:szCs w:val="24"/>
          <w:lang w:val="hr-HR"/>
        </w:rPr>
        <w:t xml:space="preserve">„MTČ“ </w:t>
      </w:r>
      <w:r w:rsidR="00B218CC" w:rsidRPr="008A6782">
        <w:rPr>
          <w:rFonts w:ascii="Arial" w:hAnsi="Arial"/>
          <w:b/>
          <w:i/>
          <w:sz w:val="24"/>
          <w:szCs w:val="24"/>
          <w:lang w:val="hr-HR"/>
        </w:rPr>
        <w:t>U ČAKOVCU</w:t>
      </w:r>
    </w:p>
    <w:p w:rsidR="003354F8" w:rsidRDefault="003354F8" w:rsidP="0034538C">
      <w:pPr>
        <w:jc w:val="center"/>
        <w:rPr>
          <w:rFonts w:ascii="Arial" w:hAnsi="Arial"/>
          <w:lang w:val="hr-HR"/>
        </w:rPr>
      </w:pPr>
    </w:p>
    <w:p w:rsidR="0034538C" w:rsidRPr="003354F8" w:rsidRDefault="0034538C" w:rsidP="0034538C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1.</w:t>
      </w:r>
    </w:p>
    <w:p w:rsidR="0034538C" w:rsidRDefault="008F59AA" w:rsidP="008F59AA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>Donosi se Odluka o izradi Urbanističkog plana uređenja kompleksa „MTČ“ u Čakovcu (u nastavku teksta: Odluka).</w:t>
      </w:r>
    </w:p>
    <w:p w:rsidR="008F59AA" w:rsidRDefault="000737B2" w:rsidP="0058350A">
      <w:pPr>
        <w:spacing w:after="120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>Temeljem ove Odluke započinje izrada Urbanističkog plana uređenja kompleksa „MTČ“ u Čakovcu (u nastavku teksta: UPU</w:t>
      </w:r>
      <w:r w:rsidR="0058350A">
        <w:rPr>
          <w:rFonts w:ascii="Arial" w:hAnsi="Arial"/>
          <w:lang w:val="hr-HR"/>
        </w:rPr>
        <w:t xml:space="preserve"> „MTČ“</w:t>
      </w:r>
      <w:r w:rsidR="003354F8">
        <w:rPr>
          <w:rFonts w:ascii="Arial" w:hAnsi="Arial"/>
          <w:lang w:val="hr-HR"/>
        </w:rPr>
        <w:t>).</w:t>
      </w:r>
    </w:p>
    <w:p w:rsidR="009A100E" w:rsidRPr="003354F8" w:rsidRDefault="008F59AA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2</w:t>
      </w:r>
      <w:r w:rsidR="009A100E" w:rsidRPr="003354F8">
        <w:rPr>
          <w:rFonts w:ascii="Arial" w:hAnsi="Arial"/>
          <w:b/>
          <w:lang w:val="hr-HR"/>
        </w:rPr>
        <w:t>.</w:t>
      </w:r>
    </w:p>
    <w:p w:rsidR="009A100E" w:rsidRDefault="0033205D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Ova Odluka sadrži: </w:t>
      </w:r>
    </w:p>
    <w:p w:rsidR="009A100E" w:rsidRDefault="00994F00">
      <w:pPr>
        <w:numPr>
          <w:ilvl w:val="0"/>
          <w:numId w:val="3"/>
        </w:numPr>
        <w:tabs>
          <w:tab w:val="clear" w:pos="495"/>
          <w:tab w:val="num" w:pos="142"/>
        </w:tabs>
        <w:ind w:left="142" w:hanging="142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pravnu osnovu</w:t>
      </w:r>
      <w:r w:rsidR="009A100E">
        <w:rPr>
          <w:rFonts w:ascii="Arial" w:hAnsi="Arial"/>
          <w:lang w:val="hr-HR"/>
        </w:rPr>
        <w:t xml:space="preserve"> za izradu i donošenje </w:t>
      </w:r>
      <w:r w:rsidR="00B218CC">
        <w:rPr>
          <w:rFonts w:ascii="Arial" w:hAnsi="Arial"/>
          <w:lang w:val="hr-HR"/>
        </w:rPr>
        <w:t>U</w:t>
      </w:r>
      <w:r w:rsidR="0058350A">
        <w:rPr>
          <w:rFonts w:ascii="Arial" w:hAnsi="Arial"/>
          <w:lang w:val="hr-HR"/>
        </w:rPr>
        <w:t>PU</w:t>
      </w:r>
      <w:r w:rsidR="000C5572">
        <w:rPr>
          <w:rFonts w:ascii="Arial" w:hAnsi="Arial"/>
          <w:lang w:val="hr-HR"/>
        </w:rPr>
        <w:t>-a</w:t>
      </w:r>
      <w:r w:rsidR="008F59AA">
        <w:rPr>
          <w:rFonts w:ascii="Arial" w:hAnsi="Arial"/>
          <w:lang w:val="hr-HR"/>
        </w:rPr>
        <w:t xml:space="preserve"> „MTČ</w:t>
      </w:r>
      <w:r w:rsidR="0058350A">
        <w:rPr>
          <w:rFonts w:ascii="Arial" w:hAnsi="Arial"/>
          <w:lang w:val="hr-HR"/>
        </w:rPr>
        <w:t>“,</w:t>
      </w:r>
    </w:p>
    <w:p w:rsidR="009A100E" w:rsidRDefault="00994F00">
      <w:pPr>
        <w:numPr>
          <w:ilvl w:val="0"/>
          <w:numId w:val="3"/>
        </w:numPr>
        <w:tabs>
          <w:tab w:val="clear" w:pos="495"/>
          <w:tab w:val="num" w:pos="142"/>
        </w:tabs>
        <w:ind w:left="142" w:hanging="142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razloge</w:t>
      </w:r>
      <w:r w:rsidR="00777B59">
        <w:rPr>
          <w:rFonts w:ascii="Arial" w:hAnsi="Arial"/>
          <w:lang w:val="hr-HR"/>
        </w:rPr>
        <w:t xml:space="preserve"> za </w:t>
      </w:r>
      <w:r w:rsidR="004A3BAD">
        <w:rPr>
          <w:rFonts w:ascii="Arial" w:hAnsi="Arial"/>
          <w:lang w:val="hr-HR"/>
        </w:rPr>
        <w:t>izradu i donošenje</w:t>
      </w:r>
      <w:r>
        <w:rPr>
          <w:rFonts w:ascii="Arial" w:hAnsi="Arial"/>
          <w:lang w:val="hr-HR"/>
        </w:rPr>
        <w:t xml:space="preserve"> UPU</w:t>
      </w:r>
      <w:r w:rsidR="000C5572">
        <w:rPr>
          <w:rFonts w:ascii="Arial" w:hAnsi="Arial"/>
          <w:lang w:val="hr-HR"/>
        </w:rPr>
        <w:t>-a</w:t>
      </w:r>
      <w:r>
        <w:rPr>
          <w:rFonts w:ascii="Arial" w:hAnsi="Arial"/>
          <w:lang w:val="hr-HR"/>
        </w:rPr>
        <w:t xml:space="preserve"> „MTČ“</w:t>
      </w:r>
      <w:r w:rsidR="004A3BAD">
        <w:rPr>
          <w:rFonts w:ascii="Arial" w:hAnsi="Arial"/>
          <w:lang w:val="hr-HR"/>
        </w:rPr>
        <w:t>,</w:t>
      </w:r>
      <w:r w:rsidR="00777B59">
        <w:rPr>
          <w:rFonts w:ascii="Arial" w:hAnsi="Arial"/>
          <w:lang w:val="hr-HR"/>
        </w:rPr>
        <w:t xml:space="preserve"> </w:t>
      </w:r>
    </w:p>
    <w:p w:rsidR="00777B59" w:rsidRDefault="004A3BAD">
      <w:pPr>
        <w:numPr>
          <w:ilvl w:val="0"/>
          <w:numId w:val="3"/>
        </w:numPr>
        <w:tabs>
          <w:tab w:val="clear" w:pos="495"/>
          <w:tab w:val="num" w:pos="142"/>
        </w:tabs>
        <w:ind w:left="142" w:hanging="142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obuhvat</w:t>
      </w:r>
      <w:r w:rsidR="00994F00">
        <w:rPr>
          <w:rFonts w:ascii="Arial" w:hAnsi="Arial"/>
          <w:lang w:val="hr-HR"/>
        </w:rPr>
        <w:t xml:space="preserve"> UPU</w:t>
      </w:r>
      <w:r w:rsidR="000C5572">
        <w:rPr>
          <w:rFonts w:ascii="Arial" w:hAnsi="Arial"/>
          <w:lang w:val="hr-HR"/>
        </w:rPr>
        <w:t>-a</w:t>
      </w:r>
      <w:r w:rsidR="00994F00">
        <w:rPr>
          <w:rFonts w:ascii="Arial" w:hAnsi="Arial"/>
          <w:lang w:val="hr-HR"/>
        </w:rPr>
        <w:t xml:space="preserve"> „MTČ“</w:t>
      </w:r>
      <w:r w:rsidR="00777B59">
        <w:rPr>
          <w:rFonts w:ascii="Arial" w:hAnsi="Arial"/>
          <w:lang w:val="hr-HR"/>
        </w:rPr>
        <w:t>,</w:t>
      </w:r>
    </w:p>
    <w:p w:rsidR="009A100E" w:rsidRDefault="00777B59">
      <w:pPr>
        <w:numPr>
          <w:ilvl w:val="0"/>
          <w:numId w:val="3"/>
        </w:numPr>
        <w:tabs>
          <w:tab w:val="clear" w:pos="495"/>
          <w:tab w:val="num" w:pos="142"/>
        </w:tabs>
        <w:ind w:left="142" w:hanging="142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sažeta </w:t>
      </w:r>
      <w:r w:rsidR="00994F00">
        <w:rPr>
          <w:rFonts w:ascii="Arial" w:hAnsi="Arial"/>
          <w:lang w:val="hr-HR"/>
        </w:rPr>
        <w:t>ocjena stanja u obuhvatu UPU</w:t>
      </w:r>
      <w:r w:rsidR="000C5572">
        <w:rPr>
          <w:rFonts w:ascii="Arial" w:hAnsi="Arial"/>
          <w:lang w:val="hr-HR"/>
        </w:rPr>
        <w:t>-a</w:t>
      </w:r>
      <w:r w:rsidR="00994F00">
        <w:rPr>
          <w:rFonts w:ascii="Arial" w:hAnsi="Arial"/>
          <w:lang w:val="hr-HR"/>
        </w:rPr>
        <w:t xml:space="preserve"> „MTČ“,</w:t>
      </w:r>
    </w:p>
    <w:p w:rsidR="00D8535B" w:rsidRPr="00D8535B" w:rsidRDefault="009A100E" w:rsidP="00D8535B">
      <w:pPr>
        <w:numPr>
          <w:ilvl w:val="0"/>
          <w:numId w:val="3"/>
        </w:numPr>
        <w:tabs>
          <w:tab w:val="clear" w:pos="495"/>
          <w:tab w:val="num" w:pos="142"/>
        </w:tabs>
        <w:ind w:left="142" w:hanging="142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ciljevi i programska polazišta,</w:t>
      </w:r>
    </w:p>
    <w:p w:rsidR="009A100E" w:rsidRDefault="009A100E">
      <w:pPr>
        <w:numPr>
          <w:ilvl w:val="0"/>
          <w:numId w:val="3"/>
        </w:numPr>
        <w:tabs>
          <w:tab w:val="clear" w:pos="495"/>
          <w:tab w:val="num" w:pos="142"/>
        </w:tabs>
        <w:ind w:left="142" w:hanging="142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način pribavljanja stručnih rješenja,</w:t>
      </w:r>
    </w:p>
    <w:p w:rsidR="009A100E" w:rsidRDefault="009A100E">
      <w:pPr>
        <w:numPr>
          <w:ilvl w:val="0"/>
          <w:numId w:val="3"/>
        </w:numPr>
        <w:tabs>
          <w:tab w:val="clear" w:pos="495"/>
          <w:tab w:val="num" w:pos="142"/>
        </w:tabs>
        <w:ind w:left="142" w:hanging="142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popis </w:t>
      </w:r>
      <w:r w:rsidR="00777B59">
        <w:rPr>
          <w:rFonts w:ascii="Arial" w:hAnsi="Arial"/>
          <w:lang w:val="hr-HR"/>
        </w:rPr>
        <w:t xml:space="preserve">javnopravnih </w:t>
      </w:r>
      <w:r>
        <w:rPr>
          <w:rFonts w:ascii="Arial" w:hAnsi="Arial"/>
          <w:lang w:val="hr-HR"/>
        </w:rPr>
        <w:t>tijela od</w:t>
      </w:r>
      <w:r w:rsidR="006B7D4E">
        <w:rPr>
          <w:rFonts w:ascii="Arial" w:hAnsi="Arial"/>
          <w:lang w:val="hr-HR"/>
        </w:rPr>
        <w:t>ređenih posebnim propisima, koja</w:t>
      </w:r>
      <w:r>
        <w:rPr>
          <w:rFonts w:ascii="Arial" w:hAnsi="Arial"/>
          <w:lang w:val="hr-HR"/>
        </w:rPr>
        <w:t xml:space="preserve"> daju zahtjeve (podaci, planske smjernice i dokumente) za izradu</w:t>
      </w:r>
      <w:r w:rsidR="00D8535B">
        <w:rPr>
          <w:rFonts w:ascii="Arial" w:hAnsi="Arial"/>
          <w:lang w:val="hr-HR"/>
        </w:rPr>
        <w:t xml:space="preserve"> </w:t>
      </w:r>
      <w:r w:rsidR="00994F00">
        <w:rPr>
          <w:rFonts w:ascii="Arial" w:hAnsi="Arial"/>
          <w:lang w:val="hr-HR"/>
        </w:rPr>
        <w:t>UPU</w:t>
      </w:r>
      <w:r w:rsidR="000C5572">
        <w:rPr>
          <w:rFonts w:ascii="Arial" w:hAnsi="Arial"/>
          <w:lang w:val="hr-HR"/>
        </w:rPr>
        <w:t>-a</w:t>
      </w:r>
      <w:r w:rsidR="00994F00">
        <w:rPr>
          <w:rFonts w:ascii="Arial" w:hAnsi="Arial"/>
          <w:lang w:val="hr-HR"/>
        </w:rPr>
        <w:t xml:space="preserve"> „MTČ“,</w:t>
      </w:r>
      <w:r w:rsidR="006B7D4E">
        <w:rPr>
          <w:rFonts w:ascii="Arial" w:hAnsi="Arial"/>
          <w:lang w:val="hr-HR"/>
        </w:rPr>
        <w:t xml:space="preserve"> te drugih sudionika korisnika prostora koji trebaju sudjelovati u izradi predmetnog</w:t>
      </w:r>
      <w:r>
        <w:rPr>
          <w:rFonts w:ascii="Arial" w:hAnsi="Arial"/>
          <w:lang w:val="hr-HR"/>
        </w:rPr>
        <w:t xml:space="preserve"> plana,</w:t>
      </w:r>
    </w:p>
    <w:p w:rsidR="009A100E" w:rsidRPr="006B7D4E" w:rsidRDefault="006B7D4E" w:rsidP="006B7D4E">
      <w:pPr>
        <w:numPr>
          <w:ilvl w:val="0"/>
          <w:numId w:val="3"/>
        </w:numPr>
        <w:tabs>
          <w:tab w:val="clear" w:pos="495"/>
          <w:tab w:val="num" w:pos="142"/>
        </w:tabs>
        <w:ind w:left="142" w:hanging="142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planirani </w:t>
      </w:r>
      <w:r w:rsidR="009A100E">
        <w:rPr>
          <w:rFonts w:ascii="Arial" w:hAnsi="Arial"/>
          <w:lang w:val="hr-HR"/>
        </w:rPr>
        <w:t xml:space="preserve">rok za izradu </w:t>
      </w:r>
      <w:r w:rsidR="00994F00">
        <w:rPr>
          <w:rFonts w:ascii="Arial" w:hAnsi="Arial"/>
          <w:lang w:val="hr-HR"/>
        </w:rPr>
        <w:t>UPU</w:t>
      </w:r>
      <w:r w:rsidR="000C5572">
        <w:rPr>
          <w:rFonts w:ascii="Arial" w:hAnsi="Arial"/>
          <w:lang w:val="hr-HR"/>
        </w:rPr>
        <w:t>-a</w:t>
      </w:r>
      <w:r w:rsidR="00994F00">
        <w:rPr>
          <w:rFonts w:ascii="Arial" w:hAnsi="Arial"/>
          <w:lang w:val="hr-HR"/>
        </w:rPr>
        <w:t xml:space="preserve"> „MTČ“,</w:t>
      </w:r>
      <w:r w:rsidR="009A100E">
        <w:rPr>
          <w:rFonts w:ascii="Arial" w:hAnsi="Arial"/>
          <w:lang w:val="hr-HR"/>
        </w:rPr>
        <w:t xml:space="preserve"> odnosno njihovih pojedinih faza, </w:t>
      </w:r>
    </w:p>
    <w:p w:rsidR="009A100E" w:rsidRDefault="009A100E">
      <w:pPr>
        <w:numPr>
          <w:ilvl w:val="0"/>
          <w:numId w:val="3"/>
        </w:numPr>
        <w:tabs>
          <w:tab w:val="clear" w:pos="495"/>
          <w:tab w:val="num" w:pos="142"/>
        </w:tabs>
        <w:ind w:left="142" w:hanging="142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izvori financiranja izrade </w:t>
      </w:r>
      <w:r w:rsidR="00994F00">
        <w:rPr>
          <w:rFonts w:ascii="Arial" w:hAnsi="Arial"/>
          <w:lang w:val="hr-HR"/>
        </w:rPr>
        <w:t>UPU</w:t>
      </w:r>
      <w:r w:rsidR="000C5572">
        <w:rPr>
          <w:rFonts w:ascii="Arial" w:hAnsi="Arial"/>
          <w:lang w:val="hr-HR"/>
        </w:rPr>
        <w:t>-a</w:t>
      </w:r>
      <w:r w:rsidR="00994F00">
        <w:rPr>
          <w:rFonts w:ascii="Arial" w:hAnsi="Arial"/>
          <w:lang w:val="hr-HR"/>
        </w:rPr>
        <w:t xml:space="preserve"> „MTČ“</w:t>
      </w:r>
    </w:p>
    <w:p w:rsidR="009A100E" w:rsidRDefault="009A100E">
      <w:pPr>
        <w:ind w:left="142" w:hanging="142"/>
        <w:jc w:val="both"/>
        <w:rPr>
          <w:rFonts w:ascii="Arial" w:hAnsi="Arial"/>
          <w:lang w:val="hr-HR"/>
        </w:rPr>
      </w:pPr>
    </w:p>
    <w:p w:rsidR="009A100E" w:rsidRDefault="009A100E" w:rsidP="00786C52">
      <w:pPr>
        <w:spacing w:after="120"/>
        <w:jc w:val="both"/>
        <w:rPr>
          <w:rFonts w:ascii="Arial" w:hAnsi="Arial" w:cs="Arial"/>
          <w:b/>
          <w:bCs/>
          <w:i/>
          <w:iCs/>
          <w:sz w:val="20"/>
          <w:lang w:val="hr-HR"/>
        </w:rPr>
      </w:pPr>
      <w:r>
        <w:rPr>
          <w:rFonts w:ascii="Arial" w:hAnsi="Arial" w:cs="Arial"/>
          <w:b/>
          <w:bCs/>
          <w:i/>
          <w:iCs/>
          <w:sz w:val="20"/>
          <w:lang w:val="hr-HR"/>
        </w:rPr>
        <w:t>PRAVNA OSNOVA</w:t>
      </w:r>
    </w:p>
    <w:p w:rsidR="009A100E" w:rsidRPr="003354F8" w:rsidRDefault="00451E74">
      <w:pPr>
        <w:ind w:left="142" w:hanging="142"/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3</w:t>
      </w:r>
      <w:r w:rsidR="009A100E" w:rsidRPr="003354F8">
        <w:rPr>
          <w:rFonts w:ascii="Arial" w:hAnsi="Arial"/>
          <w:b/>
          <w:lang w:val="hr-HR"/>
        </w:rPr>
        <w:t>.</w:t>
      </w:r>
    </w:p>
    <w:p w:rsidR="009A100E" w:rsidRDefault="009A100E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 xml:space="preserve">Pravna osnova za donošenje </w:t>
      </w:r>
      <w:r w:rsidR="00786C52">
        <w:rPr>
          <w:rFonts w:ascii="Arial" w:hAnsi="Arial"/>
          <w:lang w:val="hr-HR"/>
        </w:rPr>
        <w:t>UPU</w:t>
      </w:r>
      <w:r w:rsidR="000C5572">
        <w:rPr>
          <w:rFonts w:ascii="Arial" w:hAnsi="Arial"/>
          <w:lang w:val="hr-HR"/>
        </w:rPr>
        <w:t>-a</w:t>
      </w:r>
      <w:r w:rsidR="00786C52">
        <w:rPr>
          <w:rFonts w:ascii="Arial" w:hAnsi="Arial"/>
          <w:lang w:val="hr-HR"/>
        </w:rPr>
        <w:t xml:space="preserve"> „MTČ“ </w:t>
      </w:r>
      <w:r w:rsidR="00E21313">
        <w:rPr>
          <w:rFonts w:ascii="Arial" w:hAnsi="Arial"/>
          <w:lang w:val="hr-HR"/>
        </w:rPr>
        <w:t>su</w:t>
      </w:r>
      <w:r>
        <w:rPr>
          <w:rFonts w:ascii="Arial" w:hAnsi="Arial"/>
          <w:lang w:val="hr-HR"/>
        </w:rPr>
        <w:t xml:space="preserve"> odredbe</w:t>
      </w:r>
      <w:r w:rsidR="00E21313">
        <w:rPr>
          <w:rFonts w:ascii="Arial" w:hAnsi="Arial"/>
          <w:lang w:val="hr-HR"/>
        </w:rPr>
        <w:t xml:space="preserve"> članka </w:t>
      </w:r>
      <w:r w:rsidR="00786C52">
        <w:rPr>
          <w:rFonts w:ascii="Arial" w:hAnsi="Arial"/>
          <w:lang w:val="hr-HR"/>
        </w:rPr>
        <w:t>79</w:t>
      </w:r>
      <w:r w:rsidR="00E21313">
        <w:rPr>
          <w:rFonts w:ascii="Arial" w:hAnsi="Arial"/>
          <w:lang w:val="hr-HR"/>
        </w:rPr>
        <w:t>.</w:t>
      </w:r>
      <w:r w:rsidR="00786C52">
        <w:rPr>
          <w:rFonts w:ascii="Arial" w:hAnsi="Arial"/>
          <w:lang w:val="hr-HR"/>
        </w:rPr>
        <w:t xml:space="preserve"> i 109.</w:t>
      </w:r>
      <w:r>
        <w:rPr>
          <w:rFonts w:ascii="Arial" w:hAnsi="Arial"/>
          <w:lang w:val="hr-HR"/>
        </w:rPr>
        <w:t xml:space="preserve"> Zakona o prostornom uređenju (</w:t>
      </w:r>
      <w:r w:rsidR="0013510F">
        <w:rPr>
          <w:rFonts w:ascii="Arial" w:hAnsi="Arial"/>
          <w:lang w:val="hr-HR"/>
        </w:rPr>
        <w:t>„</w:t>
      </w:r>
      <w:r>
        <w:rPr>
          <w:rFonts w:ascii="Arial" w:hAnsi="Arial"/>
          <w:lang w:val="hr-HR"/>
        </w:rPr>
        <w:t>Narodne novine</w:t>
      </w:r>
      <w:r w:rsidR="0013510F">
        <w:rPr>
          <w:rFonts w:ascii="Arial" w:hAnsi="Arial"/>
          <w:lang w:val="hr-HR"/>
        </w:rPr>
        <w:t>“</w:t>
      </w:r>
      <w:r>
        <w:rPr>
          <w:rFonts w:ascii="Arial" w:hAnsi="Arial"/>
          <w:lang w:val="hr-HR"/>
        </w:rPr>
        <w:t xml:space="preserve"> br.</w:t>
      </w:r>
      <w:r w:rsidR="006B7D4E">
        <w:rPr>
          <w:rFonts w:ascii="Arial" w:hAnsi="Arial"/>
          <w:lang w:val="hr-HR"/>
        </w:rPr>
        <w:t xml:space="preserve"> 153/13</w:t>
      </w:r>
      <w:r w:rsidR="0013510F">
        <w:rPr>
          <w:rFonts w:ascii="Arial" w:hAnsi="Arial"/>
          <w:lang w:val="hr-HR"/>
        </w:rPr>
        <w:t xml:space="preserve"> i 65/17</w:t>
      </w:r>
      <w:r w:rsidR="00E21313">
        <w:rPr>
          <w:rFonts w:ascii="Arial" w:hAnsi="Arial"/>
          <w:lang w:val="hr-HR"/>
        </w:rPr>
        <w:t>)</w:t>
      </w:r>
      <w:r w:rsidR="00786C52">
        <w:rPr>
          <w:rFonts w:ascii="Arial" w:hAnsi="Arial"/>
          <w:lang w:val="hr-HR"/>
        </w:rPr>
        <w:t xml:space="preserve"> te </w:t>
      </w:r>
      <w:r w:rsidR="00DD3277">
        <w:rPr>
          <w:rFonts w:ascii="Arial" w:hAnsi="Arial"/>
          <w:lang w:val="hr-HR"/>
        </w:rPr>
        <w:t>članka 215. st. 3. Odluke o donošenju Generalnog urbanističkog plana grada Čakovca (Službeni glasnik Grada Čakovca, br. 5/05, 1/09,</w:t>
      </w:r>
      <w:r w:rsidR="005F7513">
        <w:rPr>
          <w:rFonts w:ascii="Arial" w:hAnsi="Arial"/>
          <w:lang w:val="hr-HR"/>
        </w:rPr>
        <w:t xml:space="preserve"> 4/11,</w:t>
      </w:r>
      <w:r w:rsidR="00DD3277">
        <w:rPr>
          <w:rFonts w:ascii="Arial" w:hAnsi="Arial"/>
          <w:lang w:val="hr-HR"/>
        </w:rPr>
        <w:t xml:space="preserve"> 6/14</w:t>
      </w:r>
      <w:r w:rsidR="005F7513">
        <w:rPr>
          <w:rFonts w:ascii="Arial" w:hAnsi="Arial"/>
          <w:lang w:val="hr-HR"/>
        </w:rPr>
        <w:t>, 1/16, 3/16 i 1/17</w:t>
      </w:r>
      <w:r w:rsidR="00DD3277">
        <w:rPr>
          <w:rFonts w:ascii="Arial" w:hAnsi="Arial"/>
          <w:lang w:val="hr-HR"/>
        </w:rPr>
        <w:t>)</w:t>
      </w:r>
      <w:r w:rsidR="00E21313">
        <w:rPr>
          <w:rFonts w:ascii="Arial" w:hAnsi="Arial"/>
          <w:lang w:val="hr-HR"/>
        </w:rPr>
        <w:t>.</w:t>
      </w:r>
    </w:p>
    <w:p w:rsidR="009A100E" w:rsidRDefault="009A100E">
      <w:pPr>
        <w:jc w:val="both"/>
        <w:rPr>
          <w:rFonts w:ascii="Arial" w:hAnsi="Arial"/>
          <w:lang w:val="hr-HR"/>
        </w:rPr>
      </w:pPr>
    </w:p>
    <w:p w:rsidR="00E21313" w:rsidRPr="008A6782" w:rsidRDefault="00E17F61" w:rsidP="00E21313">
      <w:pPr>
        <w:spacing w:after="120"/>
        <w:jc w:val="both"/>
        <w:rPr>
          <w:rFonts w:ascii="Arial" w:hAnsi="Arial"/>
          <w:b/>
          <w:i/>
          <w:sz w:val="20"/>
          <w:lang w:val="hr-HR"/>
        </w:rPr>
      </w:pPr>
      <w:r w:rsidRPr="008A6782">
        <w:rPr>
          <w:rFonts w:ascii="Arial" w:hAnsi="Arial"/>
          <w:b/>
          <w:i/>
          <w:sz w:val="20"/>
          <w:lang w:val="hr-HR"/>
        </w:rPr>
        <w:t>RAZLOZI DONOŠENJA PLANA</w:t>
      </w:r>
    </w:p>
    <w:p w:rsidR="00E21313" w:rsidRPr="003354F8" w:rsidRDefault="00451E74" w:rsidP="00E21313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4</w:t>
      </w:r>
      <w:r w:rsidR="00E21313" w:rsidRPr="003354F8">
        <w:rPr>
          <w:rFonts w:ascii="Arial" w:hAnsi="Arial"/>
          <w:b/>
          <w:lang w:val="hr-HR"/>
        </w:rPr>
        <w:t>.</w:t>
      </w:r>
    </w:p>
    <w:p w:rsidR="00E21313" w:rsidRDefault="00E17F61" w:rsidP="00E21313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>Osnovni razlog za pokretanje postupka izrade i donošenja UPU</w:t>
      </w:r>
      <w:r w:rsidR="000C5572">
        <w:rPr>
          <w:rFonts w:ascii="Arial" w:hAnsi="Arial"/>
          <w:lang w:val="hr-HR"/>
        </w:rPr>
        <w:t>-a</w:t>
      </w:r>
      <w:r>
        <w:rPr>
          <w:rFonts w:ascii="Arial" w:hAnsi="Arial"/>
          <w:lang w:val="hr-HR"/>
        </w:rPr>
        <w:t xml:space="preserve"> „MTČ“</w:t>
      </w:r>
      <w:r w:rsidR="00EE5F6F">
        <w:rPr>
          <w:rFonts w:ascii="Arial" w:hAnsi="Arial"/>
          <w:lang w:val="hr-HR"/>
        </w:rPr>
        <w:t xml:space="preserve"> je plansko aktiviranje zone koja je GUP-om grada Čakovca određena kao oštećena gradska cjelina s obvezom preoblikovanja</w:t>
      </w:r>
      <w:r w:rsidR="00AA38FF">
        <w:rPr>
          <w:rFonts w:ascii="Arial" w:hAnsi="Arial"/>
          <w:lang w:val="hr-HR"/>
        </w:rPr>
        <w:t>,</w:t>
      </w:r>
      <w:r w:rsidR="00EE5F6F">
        <w:rPr>
          <w:rFonts w:ascii="Arial" w:hAnsi="Arial"/>
          <w:lang w:val="hr-HR"/>
        </w:rPr>
        <w:t xml:space="preserve"> odnosno </w:t>
      </w:r>
      <w:r w:rsidR="00AA38FF">
        <w:rPr>
          <w:rFonts w:ascii="Arial" w:hAnsi="Arial"/>
          <w:lang w:val="hr-HR"/>
        </w:rPr>
        <w:t>zona predviđena za urbanu preobrazbu</w:t>
      </w:r>
      <w:r w:rsidR="001E088B">
        <w:rPr>
          <w:rFonts w:ascii="Arial" w:hAnsi="Arial"/>
          <w:lang w:val="hr-HR"/>
        </w:rPr>
        <w:t xml:space="preserve"> u cilju afirmacije</w:t>
      </w:r>
      <w:r w:rsidR="00594F34">
        <w:rPr>
          <w:rFonts w:ascii="Arial" w:hAnsi="Arial"/>
          <w:lang w:val="hr-HR"/>
        </w:rPr>
        <w:t>,</w:t>
      </w:r>
      <w:r w:rsidR="001E088B">
        <w:rPr>
          <w:rFonts w:ascii="Arial" w:hAnsi="Arial"/>
          <w:lang w:val="hr-HR"/>
        </w:rPr>
        <w:t xml:space="preserve"> </w:t>
      </w:r>
      <w:r w:rsidR="00594F34">
        <w:rPr>
          <w:rFonts w:ascii="Arial" w:hAnsi="Arial"/>
          <w:lang w:val="hr-HR"/>
        </w:rPr>
        <w:t>ovog</w:t>
      </w:r>
      <w:r w:rsidR="001E088B">
        <w:rPr>
          <w:rFonts w:ascii="Arial" w:hAnsi="Arial"/>
          <w:lang w:val="hr-HR"/>
        </w:rPr>
        <w:t xml:space="preserve"> izuzetno vrijednog prostora.</w:t>
      </w:r>
    </w:p>
    <w:p w:rsidR="00A527F6" w:rsidRDefault="00A527F6" w:rsidP="00E21313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</w:r>
      <w:r w:rsidR="003057AD">
        <w:rPr>
          <w:rFonts w:ascii="Arial" w:hAnsi="Arial"/>
          <w:lang w:val="hr-HR"/>
        </w:rPr>
        <w:t>Odredbom članka 79. Zakona</w:t>
      </w:r>
      <w:r>
        <w:rPr>
          <w:rFonts w:ascii="Arial" w:hAnsi="Arial"/>
          <w:lang w:val="hr-HR"/>
        </w:rPr>
        <w:t xml:space="preserve"> o prostornom uređenju propisano je da </w:t>
      </w:r>
      <w:r w:rsidR="003057AD">
        <w:rPr>
          <w:rFonts w:ascii="Arial" w:hAnsi="Arial"/>
          <w:lang w:val="hr-HR"/>
        </w:rPr>
        <w:t>se za izgrađene dijelove građevinskog područja koji su planirani za urbanu preobrazbu ili urbanu sanaciju obavezno donosi urbanistički</w:t>
      </w:r>
      <w:r w:rsidR="0010074B">
        <w:rPr>
          <w:rFonts w:ascii="Arial" w:hAnsi="Arial"/>
          <w:lang w:val="hr-HR"/>
        </w:rPr>
        <w:t xml:space="preserve"> plan uređenja. Prema tome, za dobivanje građevinske dozvole za zahvate u okviru tog prostora potrebno je prethodno donijeti urbanistički plan uređenja.</w:t>
      </w:r>
    </w:p>
    <w:p w:rsidR="00E21313" w:rsidRPr="00E21313" w:rsidRDefault="00E21313" w:rsidP="00E21313">
      <w:pPr>
        <w:jc w:val="center"/>
        <w:rPr>
          <w:rFonts w:ascii="Arial" w:hAnsi="Arial"/>
          <w:lang w:val="hr-HR"/>
        </w:rPr>
      </w:pPr>
    </w:p>
    <w:p w:rsidR="009A100E" w:rsidRDefault="009A100E" w:rsidP="00034D53">
      <w:pPr>
        <w:spacing w:after="120"/>
        <w:jc w:val="both"/>
        <w:rPr>
          <w:rFonts w:ascii="Arial" w:hAnsi="Arial"/>
          <w:b/>
          <w:bCs/>
          <w:lang w:val="hr-HR"/>
        </w:rPr>
      </w:pPr>
      <w:r>
        <w:rPr>
          <w:rFonts w:ascii="Arial" w:hAnsi="Arial"/>
          <w:b/>
          <w:bCs/>
          <w:i/>
          <w:iCs/>
          <w:sz w:val="20"/>
          <w:lang w:val="hr-HR"/>
        </w:rPr>
        <w:t>PROSTORNI OBUHVAT</w:t>
      </w:r>
    </w:p>
    <w:p w:rsidR="009A100E" w:rsidRPr="003354F8" w:rsidRDefault="00451E74">
      <w:pPr>
        <w:pStyle w:val="Tijeloteksta"/>
        <w:jc w:val="center"/>
        <w:rPr>
          <w:b/>
        </w:rPr>
      </w:pPr>
      <w:r w:rsidRPr="003354F8">
        <w:rPr>
          <w:b/>
        </w:rPr>
        <w:t>Članak 5</w:t>
      </w:r>
      <w:r w:rsidR="009A100E" w:rsidRPr="003354F8">
        <w:rPr>
          <w:b/>
        </w:rPr>
        <w:t>.</w:t>
      </w:r>
    </w:p>
    <w:p w:rsidR="009A100E" w:rsidRDefault="00062176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>O</w:t>
      </w:r>
      <w:r w:rsidR="009A100E">
        <w:rPr>
          <w:rFonts w:ascii="Arial" w:hAnsi="Arial"/>
          <w:lang w:val="hr-HR"/>
        </w:rPr>
        <w:t>buhvat</w:t>
      </w:r>
      <w:r>
        <w:rPr>
          <w:rFonts w:ascii="Arial" w:hAnsi="Arial"/>
          <w:lang w:val="hr-HR"/>
        </w:rPr>
        <w:t xml:space="preserve"> </w:t>
      </w:r>
      <w:r w:rsidR="001D37FA">
        <w:rPr>
          <w:rFonts w:ascii="Arial" w:hAnsi="Arial"/>
          <w:lang w:val="hr-HR"/>
        </w:rPr>
        <w:t>UPU</w:t>
      </w:r>
      <w:r w:rsidR="005816B2">
        <w:rPr>
          <w:rFonts w:ascii="Arial" w:hAnsi="Arial"/>
          <w:lang w:val="hr-HR"/>
        </w:rPr>
        <w:t>-a</w:t>
      </w:r>
      <w:r w:rsidR="001D37FA">
        <w:rPr>
          <w:rFonts w:ascii="Arial" w:hAnsi="Arial"/>
          <w:lang w:val="hr-HR"/>
        </w:rPr>
        <w:t xml:space="preserve"> „MTČ“</w:t>
      </w:r>
      <w:r w:rsidR="009A100E">
        <w:rPr>
          <w:rFonts w:ascii="Arial" w:hAnsi="Arial"/>
          <w:lang w:val="hr-HR"/>
        </w:rPr>
        <w:t xml:space="preserve"> </w:t>
      </w:r>
      <w:r w:rsidR="001D37FA">
        <w:rPr>
          <w:rFonts w:ascii="Arial" w:hAnsi="Arial"/>
          <w:lang w:val="hr-HR"/>
        </w:rPr>
        <w:t>određen je GUP-om grada Čakovca te prikazan u grafičkom dijelu elaborata na kartografskom prikazu br. 4.b</w:t>
      </w:r>
      <w:r w:rsidR="009A100E">
        <w:rPr>
          <w:rFonts w:ascii="Arial" w:hAnsi="Arial"/>
          <w:lang w:val="hr-HR"/>
        </w:rPr>
        <w:t>.</w:t>
      </w:r>
      <w:r w:rsidR="001D37FA">
        <w:rPr>
          <w:rFonts w:ascii="Arial" w:hAnsi="Arial"/>
          <w:lang w:val="hr-HR"/>
        </w:rPr>
        <w:t xml:space="preserve"> </w:t>
      </w:r>
      <w:r w:rsidR="0098419B">
        <w:rPr>
          <w:rFonts w:ascii="Arial" w:hAnsi="Arial"/>
          <w:lang w:val="hr-HR"/>
        </w:rPr>
        <w:t xml:space="preserve">Uvjeti za korištenje, uređenje i zaštitu prostora-područja primjene posebnih mjera uređenja i zaštite. </w:t>
      </w:r>
    </w:p>
    <w:p w:rsidR="009A100E" w:rsidRDefault="009A100E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>Površina p</w:t>
      </w:r>
      <w:r w:rsidR="00062176">
        <w:rPr>
          <w:rFonts w:ascii="Arial" w:hAnsi="Arial"/>
          <w:lang w:val="hr-HR"/>
        </w:rPr>
        <w:t xml:space="preserve">rostornog obuhvata </w:t>
      </w:r>
      <w:r w:rsidR="0098419B">
        <w:rPr>
          <w:rFonts w:ascii="Arial" w:hAnsi="Arial"/>
          <w:lang w:val="hr-HR"/>
        </w:rPr>
        <w:t>UPU</w:t>
      </w:r>
      <w:r w:rsidR="005816B2">
        <w:rPr>
          <w:rFonts w:ascii="Arial" w:hAnsi="Arial"/>
          <w:lang w:val="hr-HR"/>
        </w:rPr>
        <w:t>-a</w:t>
      </w:r>
      <w:r w:rsidR="0098419B">
        <w:rPr>
          <w:rFonts w:ascii="Arial" w:hAnsi="Arial"/>
          <w:lang w:val="hr-HR"/>
        </w:rPr>
        <w:t xml:space="preserve"> „MTČ“</w:t>
      </w:r>
      <w:r w:rsidR="008249C5">
        <w:rPr>
          <w:rFonts w:ascii="Arial" w:hAnsi="Arial"/>
          <w:lang w:val="hr-HR"/>
        </w:rPr>
        <w:t xml:space="preserve"> iznosi cca </w:t>
      </w:r>
      <w:r w:rsidR="00FD657C">
        <w:rPr>
          <w:rFonts w:ascii="Arial" w:hAnsi="Arial"/>
          <w:lang w:val="hr-HR"/>
        </w:rPr>
        <w:t>3,9 ha, a omeđena je:</w:t>
      </w:r>
    </w:p>
    <w:p w:rsidR="00FD657C" w:rsidRDefault="00FD657C" w:rsidP="001661A9">
      <w:pPr>
        <w:numPr>
          <w:ilvl w:val="0"/>
          <w:numId w:val="3"/>
        </w:numPr>
        <w:tabs>
          <w:tab w:val="clear" w:pos="495"/>
          <w:tab w:val="num" w:pos="284"/>
        </w:tabs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 sjeverne strane Trgom Republike,</w:t>
      </w:r>
    </w:p>
    <w:p w:rsidR="00FD657C" w:rsidRDefault="00FD657C" w:rsidP="001661A9">
      <w:pPr>
        <w:numPr>
          <w:ilvl w:val="0"/>
          <w:numId w:val="3"/>
        </w:numPr>
        <w:tabs>
          <w:tab w:val="clear" w:pos="495"/>
          <w:tab w:val="num" w:pos="284"/>
        </w:tabs>
        <w:ind w:left="284" w:hanging="149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 južne strane granicom građevnih parcela uz Ulicu V. Nazora,</w:t>
      </w:r>
    </w:p>
    <w:p w:rsidR="00FD657C" w:rsidRDefault="00FD657C" w:rsidP="001661A9">
      <w:pPr>
        <w:numPr>
          <w:ilvl w:val="0"/>
          <w:numId w:val="3"/>
        </w:numPr>
        <w:tabs>
          <w:tab w:val="clear" w:pos="495"/>
          <w:tab w:val="num" w:pos="284"/>
        </w:tabs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s istočne strane Ulicom </w:t>
      </w:r>
      <w:r w:rsidR="001661A9">
        <w:rPr>
          <w:rFonts w:ascii="Arial" w:hAnsi="Arial"/>
          <w:lang w:val="hr-HR"/>
        </w:rPr>
        <w:t>Matice hrvatske,</w:t>
      </w:r>
    </w:p>
    <w:p w:rsidR="00FD657C" w:rsidRDefault="001661A9" w:rsidP="001661A9">
      <w:pPr>
        <w:numPr>
          <w:ilvl w:val="0"/>
          <w:numId w:val="3"/>
        </w:numPr>
        <w:tabs>
          <w:tab w:val="clear" w:pos="495"/>
          <w:tab w:val="num" w:pos="284"/>
        </w:tabs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s zapadne strane Perivojem Zrinskih.</w:t>
      </w:r>
    </w:p>
    <w:p w:rsidR="009A100E" w:rsidRDefault="009A100E">
      <w:pPr>
        <w:jc w:val="both"/>
        <w:rPr>
          <w:rFonts w:ascii="Arial" w:hAnsi="Arial"/>
          <w:lang w:val="hr-HR"/>
        </w:rPr>
      </w:pPr>
    </w:p>
    <w:p w:rsidR="009A100E" w:rsidRDefault="009A100E" w:rsidP="00034D53">
      <w:pPr>
        <w:spacing w:after="120"/>
        <w:jc w:val="both"/>
        <w:rPr>
          <w:rFonts w:ascii="Arial" w:hAnsi="Arial" w:cs="Arial"/>
          <w:b/>
          <w:bCs/>
          <w:i/>
          <w:iCs/>
          <w:sz w:val="20"/>
          <w:lang w:val="hr-HR"/>
        </w:rPr>
      </w:pPr>
      <w:r>
        <w:rPr>
          <w:rFonts w:ascii="Arial" w:hAnsi="Arial" w:cs="Arial"/>
          <w:b/>
          <w:bCs/>
          <w:i/>
          <w:iCs/>
          <w:sz w:val="20"/>
          <w:lang w:val="hr-HR"/>
        </w:rPr>
        <w:t>OCJENA STANJA</w:t>
      </w:r>
    </w:p>
    <w:p w:rsidR="009A100E" w:rsidRPr="003354F8" w:rsidRDefault="00451E74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6</w:t>
      </w:r>
      <w:r w:rsidR="009A100E" w:rsidRPr="003354F8">
        <w:rPr>
          <w:rFonts w:ascii="Arial" w:hAnsi="Arial"/>
          <w:b/>
          <w:lang w:val="hr-HR"/>
        </w:rPr>
        <w:t>.</w:t>
      </w:r>
    </w:p>
    <w:p w:rsidR="009A100E" w:rsidRDefault="00312094" w:rsidP="00C652A0">
      <w:pPr>
        <w:pStyle w:val="Tijeloteksta"/>
      </w:pPr>
      <w:r>
        <w:tab/>
        <w:t>Prostorni obuhvat predmetnog</w:t>
      </w:r>
      <w:r w:rsidR="00062176">
        <w:t xml:space="preserve"> U</w:t>
      </w:r>
      <w:r w:rsidR="009A100E">
        <w:t>PU-a</w:t>
      </w:r>
      <w:r w:rsidR="00062176">
        <w:t xml:space="preserve">, čini </w:t>
      </w:r>
      <w:r>
        <w:t>na sjevernoj strani neizgrađena površina koja je uređena i trenutno se koristi za promet u mirovanju, dok središnji i južni dio obuhvata zauzima proizvodni kompleks nekadašnje tvornice „MTČ“. Proizvodni procesi se u tvornici više ne odvijaju</w:t>
      </w:r>
      <w:r w:rsidR="00845D1A">
        <w:t>. U funkciji je jedino upravna zgrada orijentirana na ulicu Matice hrvatske.</w:t>
      </w:r>
      <w:r>
        <w:t xml:space="preserve"> </w:t>
      </w:r>
      <w:r w:rsidR="0072315A">
        <w:t>Postojeći</w:t>
      </w:r>
      <w:r>
        <w:t xml:space="preserve"> </w:t>
      </w:r>
      <w:r w:rsidR="00E17D67">
        <w:t>građevinski fond bivše tvornice</w:t>
      </w:r>
      <w:r w:rsidR="0072315A">
        <w:t xml:space="preserve"> je </w:t>
      </w:r>
      <w:r w:rsidR="00E17D67">
        <w:t>uklonjen osim tvornički</w:t>
      </w:r>
      <w:r w:rsidR="008A5313">
        <w:t xml:space="preserve"> hala koje su</w:t>
      </w:r>
      <w:r w:rsidR="00E17D67">
        <w:t xml:space="preserve"> zbog njihove </w:t>
      </w:r>
      <w:r w:rsidR="0072315A">
        <w:t>građevinske vrijednosti</w:t>
      </w:r>
      <w:r w:rsidR="00E17D67">
        <w:t xml:space="preserve"> </w:t>
      </w:r>
      <w:r w:rsidR="008A5313">
        <w:t>sačuvane i koje se planiraju prenamijeniti.</w:t>
      </w:r>
      <w:r w:rsidR="00E17D67">
        <w:t xml:space="preserve"> </w:t>
      </w:r>
    </w:p>
    <w:p w:rsidR="00E05E78" w:rsidRDefault="00E05E78">
      <w:pPr>
        <w:pStyle w:val="Tijeloteksta"/>
      </w:pPr>
      <w:r>
        <w:tab/>
      </w:r>
      <w:r w:rsidR="00C652A0">
        <w:t>Prostor je opremljen komunalnom infrastrukt</w:t>
      </w:r>
      <w:r w:rsidR="00233085">
        <w:t xml:space="preserve">urom koja će se rekonstruirati prema novoj namjeni prostora. </w:t>
      </w:r>
    </w:p>
    <w:p w:rsidR="009A100E" w:rsidRDefault="009A100E">
      <w:pPr>
        <w:rPr>
          <w:rFonts w:ascii="Arial" w:hAnsi="Arial"/>
          <w:lang w:val="hr-HR"/>
        </w:rPr>
      </w:pPr>
    </w:p>
    <w:p w:rsidR="009A100E" w:rsidRDefault="009A100E" w:rsidP="00034D53">
      <w:pPr>
        <w:spacing w:after="120"/>
        <w:rPr>
          <w:rFonts w:ascii="Arial" w:hAnsi="Arial"/>
          <w:b/>
          <w:bCs/>
          <w:i/>
          <w:iCs/>
          <w:sz w:val="20"/>
          <w:lang w:val="hr-HR"/>
        </w:rPr>
      </w:pPr>
      <w:r>
        <w:rPr>
          <w:rFonts w:ascii="Arial" w:hAnsi="Arial"/>
          <w:b/>
          <w:bCs/>
          <w:i/>
          <w:iCs/>
          <w:sz w:val="20"/>
          <w:lang w:val="hr-HR"/>
        </w:rPr>
        <w:t>CILJEVI I PROGRAMSKA POLAZIŠTA</w:t>
      </w:r>
    </w:p>
    <w:p w:rsidR="009A100E" w:rsidRPr="003354F8" w:rsidRDefault="00451E74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7</w:t>
      </w:r>
      <w:r w:rsidR="009A100E" w:rsidRPr="003354F8">
        <w:rPr>
          <w:rFonts w:ascii="Arial" w:hAnsi="Arial"/>
          <w:b/>
          <w:lang w:val="hr-HR"/>
        </w:rPr>
        <w:t>.</w:t>
      </w:r>
    </w:p>
    <w:p w:rsidR="009A100E" w:rsidRDefault="009A100E">
      <w:pPr>
        <w:pStyle w:val="Tijeloteksta"/>
      </w:pPr>
      <w:r>
        <w:t>Ciljevi i programska polazišta</w:t>
      </w:r>
      <w:r w:rsidR="009F4F9E">
        <w:t>:</w:t>
      </w:r>
    </w:p>
    <w:p w:rsidR="009A100E" w:rsidRPr="003F63B4" w:rsidRDefault="0052210B">
      <w:pPr>
        <w:pStyle w:val="Tijeloteksta"/>
        <w:numPr>
          <w:ilvl w:val="0"/>
          <w:numId w:val="4"/>
        </w:numPr>
        <w:tabs>
          <w:tab w:val="clear" w:pos="495"/>
          <w:tab w:val="num" w:pos="142"/>
        </w:tabs>
        <w:ind w:left="142" w:hanging="142"/>
        <w:rPr>
          <w:rFonts w:cs="Arial"/>
          <w:szCs w:val="22"/>
        </w:rPr>
      </w:pPr>
      <w:r w:rsidRPr="003F63B4">
        <w:rPr>
          <w:rStyle w:val="urbanizam"/>
          <w:rFonts w:ascii="Arial" w:hAnsi="Arial"/>
          <w:szCs w:val="22"/>
        </w:rPr>
        <w:lastRenderedPageBreak/>
        <w:t>uklanjanje, adaptacija, rekonstrukcija gradskog tkiva, stanje i namjena kojega nisu adekvatni položaju u gradu</w:t>
      </w:r>
      <w:r w:rsidR="009F4F9E" w:rsidRPr="003F63B4">
        <w:rPr>
          <w:rFonts w:cs="Arial"/>
          <w:szCs w:val="22"/>
        </w:rPr>
        <w:t>,</w:t>
      </w:r>
    </w:p>
    <w:p w:rsidR="009A100E" w:rsidRPr="003F63B4" w:rsidRDefault="0052210B">
      <w:pPr>
        <w:pStyle w:val="Tijeloteksta"/>
        <w:numPr>
          <w:ilvl w:val="0"/>
          <w:numId w:val="4"/>
        </w:numPr>
        <w:tabs>
          <w:tab w:val="clear" w:pos="495"/>
          <w:tab w:val="num" w:pos="142"/>
        </w:tabs>
        <w:ind w:left="142" w:hanging="142"/>
        <w:rPr>
          <w:rStyle w:val="urbanizam"/>
          <w:rFonts w:ascii="Arial" w:hAnsi="Arial"/>
          <w:w w:val="100"/>
          <w:szCs w:val="22"/>
        </w:rPr>
      </w:pPr>
      <w:r w:rsidRPr="003F63B4">
        <w:rPr>
          <w:rStyle w:val="urbanizam"/>
          <w:rFonts w:ascii="Arial" w:hAnsi="Arial"/>
          <w:szCs w:val="22"/>
        </w:rPr>
        <w:t>promjena postojeće namjene i morfologije te definiranje nove ulične mreže i urbane strukture,</w:t>
      </w:r>
    </w:p>
    <w:p w:rsidR="0052210B" w:rsidRPr="0052210B" w:rsidRDefault="0052210B" w:rsidP="003F63B4">
      <w:pPr>
        <w:pStyle w:val="tex-uvlaka1"/>
        <w:numPr>
          <w:ilvl w:val="0"/>
          <w:numId w:val="9"/>
        </w:numPr>
        <w:tabs>
          <w:tab w:val="clear" w:pos="851"/>
          <w:tab w:val="left" w:pos="142"/>
        </w:tabs>
        <w:spacing w:after="0"/>
        <w:ind w:left="142" w:hanging="142"/>
        <w:rPr>
          <w:rStyle w:val="urbanizam"/>
          <w:rFonts w:ascii="Arial" w:hAnsi="Arial"/>
          <w:w w:val="100"/>
        </w:rPr>
      </w:pPr>
      <w:r w:rsidRPr="0052210B">
        <w:rPr>
          <w:rStyle w:val="urbanizam"/>
          <w:rFonts w:ascii="Arial" w:hAnsi="Arial"/>
          <w:w w:val="100"/>
        </w:rPr>
        <w:t>mješovita namjena (M) za područje kompleksa „MTČ“ i javna i društvena namjena (D) prvenstveno u funkciji Uprave Grada;</w:t>
      </w:r>
    </w:p>
    <w:p w:rsidR="0052210B" w:rsidRDefault="0052210B" w:rsidP="0037714A">
      <w:pPr>
        <w:pStyle w:val="tex-uvlaka1"/>
        <w:numPr>
          <w:ilvl w:val="0"/>
          <w:numId w:val="9"/>
        </w:numPr>
        <w:tabs>
          <w:tab w:val="clear" w:pos="851"/>
          <w:tab w:val="left" w:pos="142"/>
        </w:tabs>
        <w:ind w:left="142" w:hanging="142"/>
        <w:rPr>
          <w:rStyle w:val="urbanizam"/>
          <w:rFonts w:ascii="Arial" w:hAnsi="Arial"/>
          <w:w w:val="100"/>
        </w:rPr>
      </w:pPr>
      <w:r w:rsidRPr="0052210B">
        <w:rPr>
          <w:rStyle w:val="urbanizam"/>
          <w:rFonts w:ascii="Arial" w:hAnsi="Arial"/>
          <w:w w:val="100"/>
        </w:rPr>
        <w:t>transformacija u prostor visokog urbanog i arhitektonsko-oblikovnog standarda;</w:t>
      </w:r>
    </w:p>
    <w:p w:rsidR="00C1498C" w:rsidRPr="00881F99" w:rsidRDefault="00C1498C" w:rsidP="00C1498C">
      <w:pPr>
        <w:pStyle w:val="tex-uvlaka1"/>
        <w:numPr>
          <w:ilvl w:val="0"/>
          <w:numId w:val="0"/>
        </w:numPr>
        <w:tabs>
          <w:tab w:val="clear" w:pos="851"/>
          <w:tab w:val="left" w:pos="142"/>
        </w:tabs>
        <w:spacing w:after="0"/>
        <w:ind w:left="142"/>
        <w:rPr>
          <w:rStyle w:val="urbanizam"/>
          <w:rFonts w:ascii="Arial" w:hAnsi="Arial"/>
          <w:w w:val="100"/>
          <w:u w:val="single"/>
        </w:rPr>
      </w:pPr>
      <w:r w:rsidRPr="00881F99">
        <w:rPr>
          <w:rStyle w:val="urbanizam"/>
          <w:rFonts w:ascii="Arial" w:hAnsi="Arial"/>
          <w:w w:val="100"/>
          <w:u w:val="single"/>
        </w:rPr>
        <w:t>Kompleks „MTČ“</w:t>
      </w:r>
      <w:r w:rsidR="0037714A" w:rsidRPr="00881F99">
        <w:rPr>
          <w:rStyle w:val="urbanizam"/>
          <w:rFonts w:ascii="Arial" w:hAnsi="Arial"/>
          <w:w w:val="100"/>
          <w:u w:val="single"/>
        </w:rPr>
        <w:t xml:space="preserve"> (M-mješovita namjena)</w:t>
      </w:r>
    </w:p>
    <w:p w:rsidR="0037714A" w:rsidRDefault="0037714A" w:rsidP="003F63B4">
      <w:pPr>
        <w:pStyle w:val="tex-uvlaka1"/>
        <w:numPr>
          <w:ilvl w:val="0"/>
          <w:numId w:val="9"/>
        </w:numPr>
        <w:tabs>
          <w:tab w:val="clear" w:pos="851"/>
          <w:tab w:val="left" w:pos="142"/>
        </w:tabs>
        <w:spacing w:after="0"/>
        <w:ind w:left="142" w:hanging="142"/>
        <w:rPr>
          <w:rStyle w:val="urbanizam"/>
          <w:rFonts w:ascii="Arial" w:hAnsi="Arial"/>
          <w:w w:val="100"/>
        </w:rPr>
      </w:pPr>
      <w:r>
        <w:rPr>
          <w:rStyle w:val="urbanizam"/>
          <w:rFonts w:ascii="Arial" w:hAnsi="Arial"/>
          <w:w w:val="100"/>
        </w:rPr>
        <w:t>k</w:t>
      </w:r>
      <w:r w:rsidR="0052210B" w:rsidRPr="0037714A">
        <w:rPr>
          <w:rStyle w:val="urbanizam"/>
          <w:rFonts w:ascii="Arial" w:hAnsi="Arial"/>
          <w:w w:val="100"/>
          <w:vertAlign w:val="subscript"/>
        </w:rPr>
        <w:t>ig</w:t>
      </w:r>
      <w:r w:rsidR="0052210B" w:rsidRPr="0052210B">
        <w:rPr>
          <w:rStyle w:val="urbanizam"/>
          <w:rFonts w:ascii="Arial" w:hAnsi="Arial"/>
          <w:w w:val="100"/>
        </w:rPr>
        <w:t>(zone) podzemnih etaža</w:t>
      </w:r>
      <w:r>
        <w:rPr>
          <w:rStyle w:val="urbanizam"/>
          <w:rFonts w:ascii="Arial" w:hAnsi="Arial"/>
          <w:w w:val="100"/>
        </w:rPr>
        <w:t xml:space="preserve"> </w:t>
      </w:r>
      <w:r w:rsidR="0052210B" w:rsidRPr="0052210B">
        <w:rPr>
          <w:rStyle w:val="urbanizam"/>
          <w:rFonts w:ascii="Arial" w:hAnsi="Arial"/>
          <w:w w:val="100"/>
        </w:rPr>
        <w:t>=</w:t>
      </w:r>
      <w:r>
        <w:rPr>
          <w:rStyle w:val="urbanizam"/>
          <w:rFonts w:ascii="Arial" w:hAnsi="Arial"/>
          <w:w w:val="100"/>
        </w:rPr>
        <w:t xml:space="preserve"> </w:t>
      </w:r>
      <w:r w:rsidR="0052210B" w:rsidRPr="0052210B">
        <w:rPr>
          <w:rStyle w:val="urbanizam"/>
          <w:rFonts w:ascii="Arial" w:hAnsi="Arial"/>
          <w:w w:val="100"/>
        </w:rPr>
        <w:t>0,80;</w:t>
      </w:r>
    </w:p>
    <w:p w:rsidR="0037714A" w:rsidRDefault="0037714A" w:rsidP="003F63B4">
      <w:pPr>
        <w:pStyle w:val="tex-uvlaka1"/>
        <w:numPr>
          <w:ilvl w:val="0"/>
          <w:numId w:val="9"/>
        </w:numPr>
        <w:tabs>
          <w:tab w:val="clear" w:pos="851"/>
          <w:tab w:val="left" w:pos="142"/>
        </w:tabs>
        <w:spacing w:after="0"/>
        <w:ind w:left="142" w:hanging="142"/>
        <w:rPr>
          <w:rStyle w:val="urbanizam"/>
          <w:rFonts w:ascii="Arial" w:hAnsi="Arial"/>
          <w:w w:val="100"/>
        </w:rPr>
      </w:pPr>
      <w:r>
        <w:rPr>
          <w:rStyle w:val="urbanizam"/>
          <w:rFonts w:ascii="Arial" w:hAnsi="Arial"/>
          <w:w w:val="100"/>
        </w:rPr>
        <w:t>k</w:t>
      </w:r>
      <w:r w:rsidR="0052210B" w:rsidRPr="0037714A">
        <w:rPr>
          <w:rStyle w:val="urbanizam"/>
          <w:rFonts w:ascii="Arial" w:hAnsi="Arial"/>
          <w:w w:val="100"/>
          <w:vertAlign w:val="subscript"/>
        </w:rPr>
        <w:t>ig</w:t>
      </w:r>
      <w:r w:rsidR="0052210B" w:rsidRPr="0052210B">
        <w:rPr>
          <w:rStyle w:val="urbanizam"/>
          <w:rFonts w:ascii="Arial" w:hAnsi="Arial"/>
          <w:w w:val="100"/>
        </w:rPr>
        <w:t>(zone) nadzemnih etaža = 0,50,</w:t>
      </w:r>
    </w:p>
    <w:p w:rsidR="005015AB" w:rsidRDefault="0052210B" w:rsidP="003F63B4">
      <w:pPr>
        <w:pStyle w:val="tex-uvlaka1"/>
        <w:numPr>
          <w:ilvl w:val="0"/>
          <w:numId w:val="9"/>
        </w:numPr>
        <w:tabs>
          <w:tab w:val="clear" w:pos="851"/>
          <w:tab w:val="left" w:pos="142"/>
        </w:tabs>
        <w:spacing w:after="0"/>
        <w:ind w:left="142" w:hanging="142"/>
        <w:rPr>
          <w:rStyle w:val="urbanizam"/>
          <w:rFonts w:ascii="Arial" w:hAnsi="Arial"/>
          <w:w w:val="100"/>
        </w:rPr>
      </w:pPr>
      <w:r w:rsidRPr="0052210B">
        <w:rPr>
          <w:rStyle w:val="urbanizam"/>
          <w:rFonts w:ascii="Arial" w:hAnsi="Arial"/>
          <w:w w:val="100"/>
        </w:rPr>
        <w:t>najveća etažnost</w:t>
      </w:r>
      <w:r w:rsidR="0037714A">
        <w:rPr>
          <w:rStyle w:val="urbanizam"/>
          <w:rFonts w:ascii="Arial" w:hAnsi="Arial"/>
          <w:w w:val="100"/>
        </w:rPr>
        <w:t xml:space="preserve">: </w:t>
      </w:r>
      <w:r w:rsidRPr="0052210B">
        <w:rPr>
          <w:rStyle w:val="urbanizam"/>
          <w:rFonts w:ascii="Arial" w:hAnsi="Arial"/>
          <w:w w:val="100"/>
        </w:rPr>
        <w:t>2 podzemne i 4 nadzemne etaže (E=2Po+P+3 ili E=2Po+P+2+NPE),</w:t>
      </w:r>
    </w:p>
    <w:p w:rsidR="0043310D" w:rsidRDefault="0052210B" w:rsidP="003F63B4">
      <w:pPr>
        <w:pStyle w:val="tex-uvlaka1"/>
        <w:numPr>
          <w:ilvl w:val="0"/>
          <w:numId w:val="9"/>
        </w:numPr>
        <w:tabs>
          <w:tab w:val="clear" w:pos="851"/>
          <w:tab w:val="left" w:pos="142"/>
        </w:tabs>
        <w:spacing w:after="0"/>
        <w:ind w:left="142" w:hanging="142"/>
        <w:rPr>
          <w:rStyle w:val="urbanizam"/>
          <w:rFonts w:ascii="Arial" w:hAnsi="Arial"/>
          <w:w w:val="100"/>
        </w:rPr>
      </w:pPr>
      <w:r w:rsidRPr="0052210B">
        <w:rPr>
          <w:rStyle w:val="urbanizam"/>
          <w:rFonts w:ascii="Arial" w:hAnsi="Arial"/>
          <w:w w:val="100"/>
        </w:rPr>
        <w:t xml:space="preserve">30% - 40% ukupne površine partera obavezno treba urediti kao javnu parkovnu površinu, a ostatak do ukupne površine partera kao druge pješačke i </w:t>
      </w:r>
      <w:r w:rsidR="005A1865">
        <w:rPr>
          <w:rStyle w:val="urbanizam"/>
          <w:rFonts w:ascii="Arial" w:hAnsi="Arial"/>
          <w:w w:val="100"/>
        </w:rPr>
        <w:t>servisne kolne površine,</w:t>
      </w:r>
    </w:p>
    <w:p w:rsidR="006A7BE7" w:rsidRDefault="006A7BE7" w:rsidP="003F63B4">
      <w:pPr>
        <w:pStyle w:val="tex-uvlaka1"/>
        <w:numPr>
          <w:ilvl w:val="0"/>
          <w:numId w:val="9"/>
        </w:numPr>
        <w:tabs>
          <w:tab w:val="clear" w:pos="851"/>
          <w:tab w:val="left" w:pos="142"/>
        </w:tabs>
        <w:spacing w:after="0"/>
        <w:ind w:left="142" w:hanging="142"/>
        <w:rPr>
          <w:rStyle w:val="urbanizam"/>
          <w:rFonts w:ascii="Arial" w:hAnsi="Arial"/>
          <w:w w:val="100"/>
        </w:rPr>
      </w:pPr>
      <w:r>
        <w:rPr>
          <w:rStyle w:val="urbanizam"/>
          <w:rFonts w:ascii="Arial" w:hAnsi="Arial"/>
          <w:w w:val="100"/>
        </w:rPr>
        <w:t>30% - 70% BRP zone treba imati stambenu namjenu,</w:t>
      </w:r>
    </w:p>
    <w:p w:rsidR="00290280" w:rsidRDefault="006A7BE7" w:rsidP="003F63B4">
      <w:pPr>
        <w:pStyle w:val="tex-uvlaka1"/>
        <w:numPr>
          <w:ilvl w:val="0"/>
          <w:numId w:val="9"/>
        </w:numPr>
        <w:tabs>
          <w:tab w:val="clear" w:pos="851"/>
          <w:tab w:val="left" w:pos="142"/>
        </w:tabs>
        <w:spacing w:after="0"/>
        <w:ind w:left="142" w:hanging="142"/>
        <w:rPr>
          <w:rStyle w:val="urbanizam"/>
          <w:rFonts w:ascii="Arial" w:hAnsi="Arial"/>
          <w:w w:val="100"/>
        </w:rPr>
      </w:pPr>
      <w:r>
        <w:rPr>
          <w:rStyle w:val="urbanizam"/>
          <w:rFonts w:ascii="Arial" w:hAnsi="Arial"/>
          <w:w w:val="100"/>
        </w:rPr>
        <w:t>30% - 70% BRP zone mogu zauzimati uredi, trgovine, prostori uslužnih i društvenih djelatnosti pri čemu se u površinu BRP-a za pojedinu namjenu uračunavaju i prip</w:t>
      </w:r>
      <w:r w:rsidR="00290280">
        <w:rPr>
          <w:rStyle w:val="urbanizam"/>
          <w:rFonts w:ascii="Arial" w:hAnsi="Arial"/>
          <w:w w:val="100"/>
        </w:rPr>
        <w:t>adajuće garažne površine,</w:t>
      </w:r>
    </w:p>
    <w:p w:rsidR="006A7BE7" w:rsidRDefault="00290280" w:rsidP="003F63B4">
      <w:pPr>
        <w:pStyle w:val="tex-uvlaka1"/>
        <w:numPr>
          <w:ilvl w:val="0"/>
          <w:numId w:val="9"/>
        </w:numPr>
        <w:tabs>
          <w:tab w:val="clear" w:pos="851"/>
          <w:tab w:val="left" w:pos="142"/>
        </w:tabs>
        <w:spacing w:after="0"/>
        <w:ind w:left="142" w:hanging="142"/>
        <w:rPr>
          <w:rStyle w:val="urbanizam"/>
          <w:rFonts w:ascii="Arial" w:hAnsi="Arial"/>
          <w:w w:val="100"/>
        </w:rPr>
      </w:pPr>
      <w:r>
        <w:rPr>
          <w:rStyle w:val="urbanizam"/>
          <w:rFonts w:ascii="Arial" w:hAnsi="Arial"/>
          <w:w w:val="100"/>
        </w:rPr>
        <w:t>unutar poslovno – društvenog kompleksa preporuča se osigurati prostor za lociranje centra promocije i delikatesne prodaje lokalnih i regionalnih proizvoda, k</w:t>
      </w:r>
      <w:r w:rsidR="007F1297">
        <w:rPr>
          <w:rStyle w:val="urbanizam"/>
          <w:rFonts w:ascii="Arial" w:hAnsi="Arial"/>
          <w:w w:val="100"/>
        </w:rPr>
        <w:t>ao i za hotel</w:t>
      </w:r>
    </w:p>
    <w:p w:rsidR="007F1297" w:rsidRDefault="007F1297" w:rsidP="007F1297">
      <w:pPr>
        <w:pStyle w:val="tex-uvlaka1"/>
        <w:numPr>
          <w:ilvl w:val="0"/>
          <w:numId w:val="0"/>
        </w:numPr>
        <w:tabs>
          <w:tab w:val="clear" w:pos="851"/>
          <w:tab w:val="left" w:pos="142"/>
        </w:tabs>
        <w:spacing w:after="0"/>
        <w:ind w:left="2574" w:hanging="360"/>
        <w:rPr>
          <w:rStyle w:val="urbanizam"/>
          <w:rFonts w:ascii="Arial" w:hAnsi="Arial"/>
          <w:w w:val="100"/>
        </w:rPr>
      </w:pPr>
    </w:p>
    <w:p w:rsidR="00473348" w:rsidRDefault="00473348" w:rsidP="00473348">
      <w:pPr>
        <w:spacing w:after="120"/>
        <w:rPr>
          <w:rFonts w:ascii="Arial" w:hAnsi="Arial"/>
          <w:b/>
          <w:bCs/>
          <w:lang w:val="hr-HR"/>
        </w:rPr>
      </w:pPr>
      <w:r>
        <w:rPr>
          <w:rFonts w:ascii="Arial" w:hAnsi="Arial"/>
          <w:b/>
          <w:bCs/>
          <w:i/>
          <w:iCs/>
          <w:sz w:val="20"/>
          <w:lang w:val="hr-HR"/>
        </w:rPr>
        <w:t>POPIS SEKTORSKIH STRATEGIJA, PLANOVA, STUDIJA I DRUGIH DOKUMENATA PROPISANIH POSEBNIM ZAKONIMA U SKLADU S KOJIMA SE UTVRĐUJU ZAHTJEVI ZA IZRADU PROSTORNIH PLANOVA</w:t>
      </w:r>
    </w:p>
    <w:p w:rsidR="0093277E" w:rsidRPr="003354F8" w:rsidRDefault="00451E74" w:rsidP="0093277E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8</w:t>
      </w:r>
      <w:r w:rsidR="0093277E" w:rsidRPr="003354F8">
        <w:rPr>
          <w:rFonts w:ascii="Arial" w:hAnsi="Arial"/>
          <w:b/>
          <w:lang w:val="hr-HR"/>
        </w:rPr>
        <w:t>.</w:t>
      </w:r>
    </w:p>
    <w:p w:rsidR="009A100E" w:rsidRDefault="0093277E">
      <w:pPr>
        <w:pStyle w:val="Tijeloteksta"/>
      </w:pPr>
      <w:r>
        <w:tab/>
        <w:t>Za izradu UPU „MTČ“ nije potrebno pribavljati posebne stručne podloge obzirom na to da se postupak izrade može provesti temeljem podataka, planskih smjernica i propisanih dok</w:t>
      </w:r>
      <w:r w:rsidR="00FD36EA">
        <w:t>umenata koje</w:t>
      </w:r>
      <w:r>
        <w:t xml:space="preserve"> će dostaviti nadležna tijela i pravne osobe s javnim ovlastima iz svog djelokruga.</w:t>
      </w:r>
    </w:p>
    <w:p w:rsidR="007F3076" w:rsidRDefault="0093277E">
      <w:pPr>
        <w:pStyle w:val="Tijeloteksta"/>
      </w:pPr>
      <w:r>
        <w:tab/>
        <w:t xml:space="preserve">Stručni izrađivač plana </w:t>
      </w:r>
      <w:r w:rsidR="00D93A68">
        <w:t>dužan je pored podataka i smjernica za izradu koj</w:t>
      </w:r>
      <w:r w:rsidR="007F3076">
        <w:t>e</w:t>
      </w:r>
      <w:r w:rsidR="00D93A68">
        <w:t xml:space="preserve"> će dostaviti javnopravna tijela, uvažiti i</w:t>
      </w:r>
      <w:r w:rsidR="005015AB">
        <w:t xml:space="preserve"> primijeniti rezultate Urbanističko arhitektonske studije</w:t>
      </w:r>
      <w:r w:rsidR="00D93A68">
        <w:t xml:space="preserve"> užeg centra grada Čakovca koju je u travnju 2013. god. izradio studio 3LHD</w:t>
      </w:r>
      <w:r w:rsidR="007F3076">
        <w:t xml:space="preserve"> iz Zagreba.</w:t>
      </w:r>
    </w:p>
    <w:p w:rsidR="0093277E" w:rsidRDefault="0093277E">
      <w:pPr>
        <w:pStyle w:val="Tijeloteksta"/>
      </w:pPr>
    </w:p>
    <w:p w:rsidR="009A100E" w:rsidRDefault="009A100E" w:rsidP="00034D53">
      <w:pPr>
        <w:spacing w:after="120"/>
        <w:rPr>
          <w:rFonts w:ascii="Arial" w:hAnsi="Arial"/>
          <w:b/>
          <w:bCs/>
          <w:lang w:val="hr-HR"/>
        </w:rPr>
      </w:pPr>
      <w:r>
        <w:rPr>
          <w:rFonts w:ascii="Arial" w:hAnsi="Arial"/>
          <w:b/>
          <w:bCs/>
          <w:i/>
          <w:iCs/>
          <w:sz w:val="20"/>
          <w:lang w:val="hr-HR"/>
        </w:rPr>
        <w:t>NAČIN PRIBAVLJANJA STRUČNIH RJEŠENJA</w:t>
      </w:r>
    </w:p>
    <w:p w:rsidR="009A100E" w:rsidRPr="003354F8" w:rsidRDefault="00451E74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9</w:t>
      </w:r>
      <w:r w:rsidR="009A100E" w:rsidRPr="003354F8">
        <w:rPr>
          <w:rFonts w:ascii="Arial" w:hAnsi="Arial"/>
          <w:b/>
          <w:lang w:val="hr-HR"/>
        </w:rPr>
        <w:t>.</w:t>
      </w:r>
    </w:p>
    <w:p w:rsidR="009A100E" w:rsidRDefault="00C06291">
      <w:pPr>
        <w:pStyle w:val="Tijeloteksta"/>
      </w:pPr>
      <w:r>
        <w:tab/>
      </w:r>
      <w:r w:rsidR="00FD36EA">
        <w:t xml:space="preserve">Stručno rješenje </w:t>
      </w:r>
      <w:r>
        <w:t>U</w:t>
      </w:r>
      <w:r w:rsidR="009A100E">
        <w:t>PU</w:t>
      </w:r>
      <w:r w:rsidR="00FD36EA">
        <w:t xml:space="preserve"> „MTČ“</w:t>
      </w:r>
      <w:r>
        <w:t xml:space="preserve"> </w:t>
      </w:r>
      <w:r w:rsidR="00FD36EA">
        <w:t xml:space="preserve">izraditi će ovlašteni stručni izrađivač </w:t>
      </w:r>
      <w:r w:rsidR="007C54F2">
        <w:t xml:space="preserve">kojemu je od </w:t>
      </w:r>
      <w:r w:rsidR="007C54F2">
        <w:t>resornog ministarstva izdana suglasnost za obavljanje stručnih poslova prostornog uređenja u suradnji s nositeljem izrade UPU-a, Upravnim odjelom za prostorno uređenje i europske fondove Grada Čakovca.</w:t>
      </w:r>
    </w:p>
    <w:p w:rsidR="003005C3" w:rsidRDefault="003005C3">
      <w:pPr>
        <w:jc w:val="both"/>
        <w:rPr>
          <w:rFonts w:ascii="Arial" w:hAnsi="Arial"/>
          <w:lang w:val="hr-HR"/>
        </w:rPr>
      </w:pPr>
    </w:p>
    <w:p w:rsidR="009A100E" w:rsidRDefault="00C06291" w:rsidP="00034D53">
      <w:pPr>
        <w:spacing w:after="120"/>
        <w:jc w:val="both"/>
        <w:rPr>
          <w:rFonts w:ascii="Arial" w:hAnsi="Arial"/>
          <w:i/>
          <w:iCs/>
          <w:sz w:val="20"/>
          <w:lang w:val="hr-HR"/>
        </w:rPr>
      </w:pPr>
      <w:r>
        <w:rPr>
          <w:rFonts w:ascii="Arial" w:hAnsi="Arial"/>
          <w:b/>
          <w:bCs/>
          <w:i/>
          <w:iCs/>
          <w:sz w:val="20"/>
          <w:lang w:val="hr-HR"/>
        </w:rPr>
        <w:t xml:space="preserve">JAVNOPRAVNA </w:t>
      </w:r>
      <w:r w:rsidR="009A100E">
        <w:rPr>
          <w:rFonts w:ascii="Arial" w:hAnsi="Arial"/>
          <w:b/>
          <w:bCs/>
          <w:i/>
          <w:iCs/>
          <w:sz w:val="20"/>
          <w:lang w:val="hr-HR"/>
        </w:rPr>
        <w:t xml:space="preserve">TIJELA I </w:t>
      </w:r>
      <w:r>
        <w:rPr>
          <w:rFonts w:ascii="Arial" w:hAnsi="Arial"/>
          <w:b/>
          <w:bCs/>
          <w:i/>
          <w:iCs/>
          <w:sz w:val="20"/>
          <w:lang w:val="hr-HR"/>
        </w:rPr>
        <w:t>DRUGI SUDIONICI KOJI</w:t>
      </w:r>
      <w:r w:rsidR="009A100E">
        <w:rPr>
          <w:rFonts w:ascii="Arial" w:hAnsi="Arial"/>
          <w:b/>
          <w:bCs/>
          <w:i/>
          <w:iCs/>
          <w:sz w:val="20"/>
          <w:lang w:val="hr-HR"/>
        </w:rPr>
        <w:t xml:space="preserve"> SUDJELUJU U IZRADI </w:t>
      </w:r>
      <w:r>
        <w:rPr>
          <w:rFonts w:ascii="Arial" w:hAnsi="Arial"/>
          <w:b/>
          <w:bCs/>
          <w:i/>
          <w:iCs/>
          <w:sz w:val="20"/>
          <w:lang w:val="hr-HR"/>
        </w:rPr>
        <w:t>UPU-a</w:t>
      </w:r>
    </w:p>
    <w:p w:rsidR="009A100E" w:rsidRPr="003354F8" w:rsidRDefault="00451E74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10</w:t>
      </w:r>
      <w:r w:rsidR="009A100E" w:rsidRPr="003354F8">
        <w:rPr>
          <w:rFonts w:ascii="Arial" w:hAnsi="Arial"/>
          <w:b/>
          <w:lang w:val="hr-HR"/>
        </w:rPr>
        <w:t>.</w:t>
      </w:r>
    </w:p>
    <w:p w:rsidR="009A100E" w:rsidRDefault="009A100E" w:rsidP="00B13DD9">
      <w:pPr>
        <w:spacing w:after="120"/>
        <w:ind w:firstLine="284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 xml:space="preserve">Tijela i osobe koja će svojim podacima, planskim smjernicama i propisanim dokumentima iz područja svog djelokruga sudjelovati u izradi </w:t>
      </w:r>
      <w:r w:rsidR="00C06291">
        <w:rPr>
          <w:rFonts w:ascii="Arial" w:hAnsi="Arial"/>
          <w:lang w:val="hr-HR"/>
        </w:rPr>
        <w:t>U</w:t>
      </w:r>
      <w:r>
        <w:rPr>
          <w:rFonts w:ascii="Arial" w:hAnsi="Arial"/>
          <w:lang w:val="hr-HR"/>
        </w:rPr>
        <w:t>PU</w:t>
      </w:r>
      <w:r w:rsidR="003005C3">
        <w:rPr>
          <w:rFonts w:ascii="Arial" w:hAnsi="Arial"/>
          <w:lang w:val="hr-HR"/>
        </w:rPr>
        <w:t xml:space="preserve"> „MTČ“</w:t>
      </w:r>
      <w:r>
        <w:rPr>
          <w:rFonts w:ascii="Arial" w:hAnsi="Arial"/>
          <w:lang w:val="hr-HR"/>
        </w:rPr>
        <w:t xml:space="preserve"> su:</w:t>
      </w:r>
    </w:p>
    <w:p w:rsidR="009A100E" w:rsidRDefault="009A100E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Ministarstvo kulture, Uprava za zaštitu kulturne baštine, Konzervatorski odjel u Varaždinu, </w:t>
      </w:r>
    </w:p>
    <w:p w:rsidR="000A0516" w:rsidRDefault="000A0516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Ministarstvo zaštite okoliša i prirode, Uprava za zaštitu prirode,</w:t>
      </w:r>
    </w:p>
    <w:p w:rsidR="009A100E" w:rsidRDefault="009A100E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Hrvatska agencija za poštu i elektroničke komunikacije, Zagreb, </w:t>
      </w:r>
    </w:p>
    <w:p w:rsidR="009A100E" w:rsidRDefault="009A100E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d.o.o. Međimurje plin, Čakovec</w:t>
      </w:r>
    </w:p>
    <w:p w:rsidR="009A100E" w:rsidRDefault="009A100E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d.o.o. Međimurske vode, Čakovec</w:t>
      </w:r>
      <w:r w:rsidR="00B13DD9">
        <w:rPr>
          <w:rFonts w:ascii="Arial" w:hAnsi="Arial" w:cs="Arial"/>
          <w:lang w:val="hr-HR"/>
        </w:rPr>
        <w:t>,</w:t>
      </w:r>
    </w:p>
    <w:p w:rsidR="009A100E" w:rsidRDefault="009A100E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Hrvatske vode d.o.o, VGI </w:t>
      </w:r>
      <w:r w:rsidR="00C06291">
        <w:rPr>
          <w:rFonts w:ascii="Arial" w:hAnsi="Arial" w:cs="Arial"/>
          <w:lang w:val="hr-HR"/>
        </w:rPr>
        <w:t>za mali sliv „Trnava“</w:t>
      </w:r>
      <w:r>
        <w:rPr>
          <w:rFonts w:ascii="Arial" w:hAnsi="Arial" w:cs="Arial"/>
          <w:lang w:val="hr-HR"/>
        </w:rPr>
        <w:t>, Čakovec,</w:t>
      </w:r>
    </w:p>
    <w:p w:rsidR="009A100E" w:rsidRDefault="009A100E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HEP, Distribucijsko područje Elektra Čakovec, </w:t>
      </w:r>
    </w:p>
    <w:p w:rsidR="009A100E" w:rsidRPr="00BF5403" w:rsidRDefault="009A100E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/>
          <w:lang w:val="hr-HR"/>
        </w:rPr>
      </w:pPr>
      <w:r>
        <w:rPr>
          <w:rFonts w:ascii="Arial" w:hAnsi="Arial" w:cs="Arial"/>
          <w:lang w:val="hr-HR"/>
        </w:rPr>
        <w:t xml:space="preserve">MUP, Policijska uprava Međimurske županije, Odjel </w:t>
      </w:r>
      <w:r w:rsidR="00237358">
        <w:rPr>
          <w:rFonts w:ascii="Arial" w:hAnsi="Arial" w:cs="Arial"/>
          <w:lang w:val="hr-HR"/>
        </w:rPr>
        <w:t>zajedničkih i upravnih poslova</w:t>
      </w:r>
      <w:r w:rsidR="00BF5403">
        <w:rPr>
          <w:rFonts w:ascii="Arial" w:hAnsi="Arial" w:cs="Arial"/>
          <w:lang w:val="hr-HR"/>
        </w:rPr>
        <w:t>,</w:t>
      </w:r>
    </w:p>
    <w:p w:rsidR="00BF5403" w:rsidRPr="00BF5403" w:rsidRDefault="00BF5403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/>
          <w:lang w:val="hr-HR"/>
        </w:rPr>
      </w:pPr>
      <w:r>
        <w:rPr>
          <w:rFonts w:ascii="Arial" w:hAnsi="Arial" w:cs="Arial"/>
          <w:lang w:val="hr-HR"/>
        </w:rPr>
        <w:t xml:space="preserve">Državna uprava za zaštitu i spašavanje, Područni ured za zaštitu i spašavanje Čakovec, </w:t>
      </w:r>
    </w:p>
    <w:p w:rsidR="00BF5403" w:rsidRDefault="00BF5403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/>
          <w:lang w:val="hr-HR"/>
        </w:rPr>
      </w:pPr>
      <w:r>
        <w:rPr>
          <w:rFonts w:ascii="Arial" w:hAnsi="Arial" w:cs="Arial"/>
          <w:lang w:val="hr-HR"/>
        </w:rPr>
        <w:t>Međimurska županija, Upra</w:t>
      </w:r>
      <w:r w:rsidR="0079291D">
        <w:rPr>
          <w:rFonts w:ascii="Arial" w:hAnsi="Arial" w:cs="Arial"/>
          <w:lang w:val="hr-HR"/>
        </w:rPr>
        <w:t>vni odjel za prostorno uređenje, gradnju i zaštitu okoliša</w:t>
      </w:r>
    </w:p>
    <w:p w:rsidR="009A100E" w:rsidRDefault="009A100E">
      <w:pPr>
        <w:jc w:val="both"/>
        <w:rPr>
          <w:rFonts w:ascii="Arial" w:hAnsi="Arial"/>
          <w:lang w:val="hr-HR"/>
        </w:rPr>
      </w:pPr>
    </w:p>
    <w:p w:rsidR="00404B76" w:rsidRDefault="00884B0C" w:rsidP="00884B0C">
      <w:pPr>
        <w:ind w:firstLine="426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Paralelno s izradom, provesti će se postupak ocjene</w:t>
      </w:r>
      <w:r w:rsidR="006629D4">
        <w:rPr>
          <w:rFonts w:ascii="Arial" w:hAnsi="Arial"/>
          <w:lang w:val="hr-HR"/>
        </w:rPr>
        <w:t>, odnosno strateške procjene utjecaja predmetnog UPU-a na okoliš</w:t>
      </w:r>
      <w:r w:rsidR="00772699">
        <w:rPr>
          <w:rFonts w:ascii="Arial" w:hAnsi="Arial"/>
          <w:lang w:val="hr-HR"/>
        </w:rPr>
        <w:t xml:space="preserve"> sukladno odredbama Zakona o zaštiti okoliša („Narodne novine“ br. 80/13, 153/13 i 78/15). </w:t>
      </w:r>
    </w:p>
    <w:p w:rsidR="00A65C87" w:rsidRDefault="00A65C87" w:rsidP="00884B0C">
      <w:pPr>
        <w:ind w:firstLine="426"/>
        <w:jc w:val="both"/>
        <w:rPr>
          <w:rFonts w:ascii="Arial" w:hAnsi="Arial"/>
          <w:lang w:val="hr-HR"/>
        </w:rPr>
      </w:pPr>
    </w:p>
    <w:p w:rsidR="009A100E" w:rsidRDefault="00237358" w:rsidP="00034D53">
      <w:pPr>
        <w:spacing w:after="120"/>
        <w:rPr>
          <w:rFonts w:ascii="Arial" w:hAnsi="Arial"/>
          <w:b/>
          <w:bCs/>
          <w:i/>
          <w:iCs/>
          <w:sz w:val="20"/>
          <w:lang w:val="hr-HR"/>
        </w:rPr>
      </w:pPr>
      <w:r>
        <w:rPr>
          <w:rFonts w:ascii="Arial" w:hAnsi="Arial"/>
          <w:b/>
          <w:bCs/>
          <w:i/>
          <w:iCs/>
          <w:sz w:val="20"/>
          <w:lang w:val="hr-HR"/>
        </w:rPr>
        <w:t>ROK ZA IZRADU</w:t>
      </w:r>
      <w:r w:rsidR="00B13DD9">
        <w:rPr>
          <w:rFonts w:ascii="Arial" w:hAnsi="Arial"/>
          <w:b/>
          <w:bCs/>
          <w:i/>
          <w:iCs/>
          <w:sz w:val="20"/>
          <w:lang w:val="hr-HR"/>
        </w:rPr>
        <w:t xml:space="preserve"> UPU</w:t>
      </w:r>
      <w:r w:rsidR="00D45BF3">
        <w:rPr>
          <w:rFonts w:ascii="Arial" w:hAnsi="Arial"/>
          <w:b/>
          <w:bCs/>
          <w:i/>
          <w:iCs/>
          <w:sz w:val="20"/>
          <w:lang w:val="hr-HR"/>
        </w:rPr>
        <w:t xml:space="preserve"> „MTČ“</w:t>
      </w:r>
      <w:r w:rsidR="009A100E">
        <w:rPr>
          <w:rFonts w:ascii="Arial" w:hAnsi="Arial"/>
          <w:b/>
          <w:bCs/>
          <w:i/>
          <w:iCs/>
          <w:sz w:val="20"/>
          <w:lang w:val="hr-HR"/>
        </w:rPr>
        <w:t>, ODNOSNO NJEGOVIH POJEDINIH FAZA</w:t>
      </w:r>
    </w:p>
    <w:p w:rsidR="009A100E" w:rsidRPr="003354F8" w:rsidRDefault="00451E74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11</w:t>
      </w:r>
      <w:r w:rsidR="009A100E" w:rsidRPr="003354F8">
        <w:rPr>
          <w:rFonts w:ascii="Arial" w:hAnsi="Arial"/>
          <w:b/>
          <w:lang w:val="hr-HR"/>
        </w:rPr>
        <w:t>.</w:t>
      </w:r>
    </w:p>
    <w:p w:rsidR="009A100E" w:rsidRDefault="009A100E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 xml:space="preserve">Rok u kojem su </w:t>
      </w:r>
      <w:r w:rsidR="00B13DD9">
        <w:rPr>
          <w:rFonts w:ascii="Arial" w:hAnsi="Arial"/>
          <w:lang w:val="hr-HR"/>
        </w:rPr>
        <w:t xml:space="preserve">javnopravna </w:t>
      </w:r>
      <w:r>
        <w:rPr>
          <w:rFonts w:ascii="Arial" w:hAnsi="Arial"/>
          <w:lang w:val="hr-HR"/>
        </w:rPr>
        <w:t xml:space="preserve">tijela i </w:t>
      </w:r>
      <w:r w:rsidR="00B13DD9">
        <w:rPr>
          <w:rFonts w:ascii="Arial" w:hAnsi="Arial"/>
          <w:lang w:val="hr-HR"/>
        </w:rPr>
        <w:t>drugi sudionici iz prethodnog članka obvezni</w:t>
      </w:r>
      <w:r>
        <w:rPr>
          <w:rFonts w:ascii="Arial" w:hAnsi="Arial"/>
          <w:lang w:val="hr-HR"/>
        </w:rPr>
        <w:t xml:space="preserve"> dostaviti svoje zahtjeve, planske smjernice ili propisane dokumente iz područja svog djelokruga je 30 dana od dana kada su zaprimile takav zahtjev. Ako u tom roku ne dostave svoje zahtjeve, planske smjernice i propisane dokumente, smatrati će se da ih nemaju.</w:t>
      </w:r>
    </w:p>
    <w:p w:rsidR="009A100E" w:rsidRDefault="009A100E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 xml:space="preserve">Rok za izradu nacrta prijedloga </w:t>
      </w:r>
      <w:r w:rsidR="00B13DD9">
        <w:rPr>
          <w:rFonts w:ascii="Arial" w:hAnsi="Arial"/>
          <w:lang w:val="hr-HR"/>
        </w:rPr>
        <w:t>U</w:t>
      </w:r>
      <w:r>
        <w:rPr>
          <w:rFonts w:ascii="Arial" w:hAnsi="Arial"/>
          <w:lang w:val="hr-HR"/>
        </w:rPr>
        <w:t>PU</w:t>
      </w:r>
      <w:r w:rsidR="00D45BF3">
        <w:rPr>
          <w:rFonts w:ascii="Arial" w:hAnsi="Arial"/>
          <w:lang w:val="hr-HR"/>
        </w:rPr>
        <w:t xml:space="preserve"> „MTČ“</w:t>
      </w:r>
      <w:r w:rsidR="00B13DD9">
        <w:rPr>
          <w:rFonts w:ascii="Arial" w:hAnsi="Arial"/>
          <w:lang w:val="hr-HR"/>
        </w:rPr>
        <w:t xml:space="preserve"> je </w:t>
      </w:r>
      <w:r w:rsidR="004C7717">
        <w:rPr>
          <w:rFonts w:ascii="Arial" w:hAnsi="Arial"/>
          <w:lang w:val="hr-HR"/>
        </w:rPr>
        <w:t>9</w:t>
      </w:r>
      <w:r w:rsidR="00B13DD9">
        <w:rPr>
          <w:rFonts w:ascii="Arial" w:hAnsi="Arial"/>
          <w:lang w:val="hr-HR"/>
        </w:rPr>
        <w:t>0</w:t>
      </w:r>
      <w:r>
        <w:rPr>
          <w:rFonts w:ascii="Arial" w:hAnsi="Arial"/>
          <w:lang w:val="hr-HR"/>
        </w:rPr>
        <w:t xml:space="preserve"> dana od dana potpisivanja ugovora o njegovoj izradi u koji rok ne ulazi vrijeme </w:t>
      </w:r>
      <w:r>
        <w:rPr>
          <w:rFonts w:ascii="Arial" w:hAnsi="Arial"/>
          <w:lang w:val="hr-HR"/>
        </w:rPr>
        <w:lastRenderedPageBreak/>
        <w:t xml:space="preserve">potrebno za pribavljanje podataka navedenih u prethodnom stavku. </w:t>
      </w:r>
    </w:p>
    <w:p w:rsidR="009A100E" w:rsidRDefault="009A100E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 xml:space="preserve">Rokovi javne rasprave i rokovi pripreme izvješća o javnoj raspravi utvrđeni su </w:t>
      </w:r>
      <w:r w:rsidR="00B13DD9">
        <w:rPr>
          <w:rFonts w:ascii="Arial" w:hAnsi="Arial"/>
          <w:lang w:val="hr-HR"/>
        </w:rPr>
        <w:t>Z</w:t>
      </w:r>
      <w:r>
        <w:rPr>
          <w:rFonts w:ascii="Arial" w:hAnsi="Arial"/>
          <w:lang w:val="hr-HR"/>
        </w:rPr>
        <w:t>akonom.</w:t>
      </w:r>
    </w:p>
    <w:p w:rsidR="00237358" w:rsidRDefault="00237358" w:rsidP="00237358">
      <w:pPr>
        <w:ind w:firstLine="284"/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Prijedlog UPU-a „MTČ“ za javnu raspravu utvrđuje gradonačelnik.</w:t>
      </w:r>
    </w:p>
    <w:p w:rsidR="00237358" w:rsidRDefault="00237358" w:rsidP="00237358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>Održavanje javne rasprave objaviti će se u lokalnom tisku, na mrežnim stranicama Grada Čakovca i resornog ministarstva.</w:t>
      </w:r>
    </w:p>
    <w:p w:rsidR="00237358" w:rsidRDefault="00237358" w:rsidP="00237358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>Trajanje javnog uvida u prijedlog UPU-a „MTČ“ i rok za dostavu mišljenja, prijedloga i primjedbi odrediti će se u dužini od 30 dana od dana početka javne rasprave. Tijekom trajanja javne rasprave organizirati će se jedno ili, prema potrebi, više javnih izlaganja.</w:t>
      </w:r>
    </w:p>
    <w:p w:rsidR="00237358" w:rsidRDefault="00237358" w:rsidP="00237358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>Odgovorni voditelj u suradnji s nositeljem izrade i članovima Odbora Gradskog vijeća za prostorno planiranje, obraditi će i ocijeniti opravdanost svih iznesenih mišljenja, prijedloga i primjedbi u javnoj raspravi i o tome sastaviti Izvješće. Stručni izrađivač i nositelj izrade izraditi će Nacrt konačnog prijedloga UPU-a „MTČ“ te ih zajedno s Izvješćem o javnoj raspravi dostaviti gradonačelniku koji će u roku od 8 dana odlučiti o izradi Konač</w:t>
      </w:r>
      <w:r w:rsidR="00FF2571">
        <w:rPr>
          <w:rFonts w:ascii="Arial" w:hAnsi="Arial"/>
          <w:lang w:val="hr-HR"/>
        </w:rPr>
        <w:t>nog prijedloga koji se upućuje G</w:t>
      </w:r>
      <w:r>
        <w:rPr>
          <w:rFonts w:ascii="Arial" w:hAnsi="Arial"/>
          <w:lang w:val="hr-HR"/>
        </w:rPr>
        <w:t>radskom vijeću na donošenje.</w:t>
      </w:r>
    </w:p>
    <w:p w:rsidR="009A100E" w:rsidRDefault="009A100E">
      <w:pPr>
        <w:jc w:val="both"/>
        <w:rPr>
          <w:rFonts w:ascii="Arial" w:hAnsi="Arial"/>
          <w:lang w:val="hr-HR"/>
        </w:rPr>
      </w:pPr>
    </w:p>
    <w:p w:rsidR="009A100E" w:rsidRDefault="009A100E" w:rsidP="00034D53">
      <w:pPr>
        <w:spacing w:after="120"/>
        <w:jc w:val="both"/>
        <w:rPr>
          <w:rFonts w:ascii="Arial" w:hAnsi="Arial"/>
          <w:b/>
          <w:bCs/>
          <w:i/>
          <w:iCs/>
          <w:sz w:val="20"/>
          <w:lang w:val="hr-HR"/>
        </w:rPr>
      </w:pPr>
      <w:r>
        <w:rPr>
          <w:rFonts w:ascii="Arial" w:hAnsi="Arial"/>
          <w:b/>
          <w:bCs/>
          <w:i/>
          <w:iCs/>
          <w:sz w:val="20"/>
          <w:lang w:val="hr-HR"/>
        </w:rPr>
        <w:t>FINANCIRANJE</w:t>
      </w:r>
    </w:p>
    <w:p w:rsidR="009A100E" w:rsidRPr="003354F8" w:rsidRDefault="009A100E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</w:t>
      </w:r>
      <w:r w:rsidR="00451E74" w:rsidRPr="003354F8">
        <w:rPr>
          <w:rFonts w:ascii="Arial" w:hAnsi="Arial"/>
          <w:b/>
          <w:lang w:val="hr-HR"/>
        </w:rPr>
        <w:t>k 12</w:t>
      </w:r>
      <w:r w:rsidRPr="003354F8">
        <w:rPr>
          <w:rFonts w:ascii="Arial" w:hAnsi="Arial"/>
          <w:b/>
          <w:lang w:val="hr-HR"/>
        </w:rPr>
        <w:t>.</w:t>
      </w:r>
    </w:p>
    <w:p w:rsidR="00EA5BD1" w:rsidRDefault="009A100E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</w:r>
      <w:r w:rsidR="006F7967">
        <w:rPr>
          <w:rFonts w:ascii="Arial" w:hAnsi="Arial"/>
          <w:lang w:val="hr-HR"/>
        </w:rPr>
        <w:t>Sredstva za i</w:t>
      </w:r>
      <w:r>
        <w:rPr>
          <w:rFonts w:ascii="Arial" w:hAnsi="Arial"/>
          <w:lang w:val="hr-HR"/>
        </w:rPr>
        <w:t xml:space="preserve">zradu </w:t>
      </w:r>
      <w:r w:rsidR="00B13DD9">
        <w:rPr>
          <w:rFonts w:ascii="Arial" w:hAnsi="Arial"/>
          <w:lang w:val="hr-HR"/>
        </w:rPr>
        <w:t>U</w:t>
      </w:r>
      <w:r>
        <w:rPr>
          <w:rFonts w:ascii="Arial" w:hAnsi="Arial"/>
          <w:lang w:val="hr-HR"/>
        </w:rPr>
        <w:t>PU-a</w:t>
      </w:r>
      <w:r w:rsidR="00D45BF3">
        <w:rPr>
          <w:rFonts w:ascii="Arial" w:hAnsi="Arial"/>
          <w:lang w:val="hr-HR"/>
        </w:rPr>
        <w:t xml:space="preserve"> „MTČ“</w:t>
      </w:r>
      <w:r>
        <w:rPr>
          <w:rFonts w:ascii="Arial" w:hAnsi="Arial"/>
          <w:lang w:val="hr-HR"/>
        </w:rPr>
        <w:t xml:space="preserve"> </w:t>
      </w:r>
      <w:r w:rsidR="004C2287">
        <w:rPr>
          <w:rFonts w:ascii="Arial" w:hAnsi="Arial"/>
          <w:lang w:val="hr-HR"/>
        </w:rPr>
        <w:t xml:space="preserve">osigurati će se temeljem odredbe čl. 63. Zakona o prostornom uređenju, iz drugih izvora, tj. izradu </w:t>
      </w:r>
      <w:r w:rsidR="0046316E">
        <w:rPr>
          <w:rFonts w:ascii="Arial" w:hAnsi="Arial"/>
          <w:lang w:val="hr-HR"/>
        </w:rPr>
        <w:t>će</w:t>
      </w:r>
      <w:r w:rsidR="004C2287">
        <w:rPr>
          <w:rFonts w:ascii="Arial" w:hAnsi="Arial"/>
          <w:lang w:val="hr-HR"/>
        </w:rPr>
        <w:t xml:space="preserve"> </w:t>
      </w:r>
      <w:r>
        <w:rPr>
          <w:rFonts w:ascii="Arial" w:hAnsi="Arial"/>
          <w:lang w:val="hr-HR"/>
        </w:rPr>
        <w:t>financ</w:t>
      </w:r>
      <w:r w:rsidR="00034D53">
        <w:rPr>
          <w:rFonts w:ascii="Arial" w:hAnsi="Arial"/>
          <w:lang w:val="hr-HR"/>
        </w:rPr>
        <w:t xml:space="preserve">irati </w:t>
      </w:r>
      <w:r w:rsidR="0046316E">
        <w:rPr>
          <w:rFonts w:ascii="Arial" w:hAnsi="Arial"/>
          <w:lang w:val="hr-HR"/>
        </w:rPr>
        <w:t>investitor planiranih zahvata unutar prostornog obuhvata UPU-a.</w:t>
      </w:r>
    </w:p>
    <w:p w:rsidR="00EA5BD1" w:rsidRDefault="00EA5BD1">
      <w:pPr>
        <w:jc w:val="both"/>
        <w:rPr>
          <w:rFonts w:ascii="Arial" w:hAnsi="Arial"/>
          <w:lang w:val="hr-HR"/>
        </w:rPr>
      </w:pPr>
    </w:p>
    <w:p w:rsidR="0046316E" w:rsidRDefault="0046316E" w:rsidP="0046316E">
      <w:pPr>
        <w:spacing w:after="120"/>
        <w:jc w:val="both"/>
        <w:rPr>
          <w:rFonts w:ascii="Arial" w:hAnsi="Arial"/>
          <w:b/>
          <w:bCs/>
          <w:i/>
          <w:iCs/>
          <w:sz w:val="20"/>
          <w:lang w:val="hr-HR"/>
        </w:rPr>
      </w:pPr>
      <w:r>
        <w:rPr>
          <w:rFonts w:ascii="Arial" w:hAnsi="Arial"/>
          <w:b/>
          <w:bCs/>
          <w:i/>
          <w:iCs/>
          <w:sz w:val="20"/>
          <w:lang w:val="hr-HR"/>
        </w:rPr>
        <w:t>ZAVRŠNE ODREDBE</w:t>
      </w:r>
    </w:p>
    <w:p w:rsidR="0046316E" w:rsidRPr="00FF2571" w:rsidRDefault="0046316E">
      <w:pPr>
        <w:jc w:val="both"/>
        <w:rPr>
          <w:rFonts w:ascii="Arial" w:hAnsi="Arial"/>
          <w:sz w:val="16"/>
          <w:szCs w:val="16"/>
          <w:lang w:val="hr-HR"/>
        </w:rPr>
      </w:pPr>
    </w:p>
    <w:p w:rsidR="009A100E" w:rsidRPr="003354F8" w:rsidRDefault="00451E74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13</w:t>
      </w:r>
      <w:r w:rsidR="009A100E" w:rsidRPr="003354F8">
        <w:rPr>
          <w:rFonts w:ascii="Arial" w:hAnsi="Arial"/>
          <w:b/>
          <w:lang w:val="hr-HR"/>
        </w:rPr>
        <w:t>.</w:t>
      </w:r>
    </w:p>
    <w:p w:rsidR="009A100E" w:rsidRDefault="009A100E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 xml:space="preserve">Ova Odluka objaviti će se u Službenom glasniku Grada Čakovca te dostaviti </w:t>
      </w:r>
      <w:r w:rsidR="00034D53">
        <w:rPr>
          <w:rFonts w:ascii="Arial" w:hAnsi="Arial"/>
          <w:lang w:val="hr-HR"/>
        </w:rPr>
        <w:t>Hrvatskom zavodu za prostorni razvoj</w:t>
      </w:r>
      <w:r>
        <w:rPr>
          <w:rFonts w:ascii="Arial" w:hAnsi="Arial"/>
          <w:lang w:val="hr-HR"/>
        </w:rPr>
        <w:t>.</w:t>
      </w:r>
    </w:p>
    <w:p w:rsidR="009A100E" w:rsidRDefault="009A100E">
      <w:pPr>
        <w:jc w:val="both"/>
        <w:rPr>
          <w:rFonts w:ascii="Arial" w:hAnsi="Arial"/>
          <w:lang w:val="hr-HR"/>
        </w:rPr>
      </w:pPr>
    </w:p>
    <w:p w:rsidR="009A100E" w:rsidRPr="003354F8" w:rsidRDefault="00034D53">
      <w:pPr>
        <w:jc w:val="center"/>
        <w:rPr>
          <w:rFonts w:ascii="Arial" w:hAnsi="Arial"/>
          <w:b/>
          <w:lang w:val="hr-HR"/>
        </w:rPr>
      </w:pPr>
      <w:r w:rsidRPr="003354F8">
        <w:rPr>
          <w:rFonts w:ascii="Arial" w:hAnsi="Arial"/>
          <w:b/>
          <w:lang w:val="hr-HR"/>
        </w:rPr>
        <w:t>Članak 1</w:t>
      </w:r>
      <w:r w:rsidR="00451E74" w:rsidRPr="003354F8">
        <w:rPr>
          <w:rFonts w:ascii="Arial" w:hAnsi="Arial"/>
          <w:b/>
          <w:lang w:val="hr-HR"/>
        </w:rPr>
        <w:t>4</w:t>
      </w:r>
      <w:r w:rsidR="009A100E" w:rsidRPr="003354F8">
        <w:rPr>
          <w:rFonts w:ascii="Arial" w:hAnsi="Arial"/>
          <w:b/>
          <w:lang w:val="hr-HR"/>
        </w:rPr>
        <w:t>.</w:t>
      </w:r>
    </w:p>
    <w:p w:rsidR="009A100E" w:rsidRDefault="009A100E">
      <w:pPr>
        <w:jc w:val="both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ab/>
        <w:t>Ova odluka stupa na snagu osmog dana od objave u Službenom glasniku Grada Čakovca.</w:t>
      </w:r>
    </w:p>
    <w:p w:rsidR="009A100E" w:rsidRDefault="009A100E">
      <w:pPr>
        <w:jc w:val="both"/>
        <w:rPr>
          <w:rFonts w:ascii="Arial" w:hAnsi="Arial"/>
          <w:lang w:val="hr-HR"/>
        </w:rPr>
      </w:pPr>
    </w:p>
    <w:p w:rsidR="009A100E" w:rsidRDefault="009A100E">
      <w:pPr>
        <w:jc w:val="both"/>
        <w:rPr>
          <w:rFonts w:ascii="Arial" w:hAnsi="Arial"/>
          <w:lang w:val="hr-HR"/>
        </w:rPr>
      </w:pPr>
    </w:p>
    <w:p w:rsidR="003354F8" w:rsidRDefault="00404B76">
      <w:pPr>
        <w:jc w:val="both"/>
        <w:rPr>
          <w:rFonts w:ascii="Arial" w:hAnsi="Arial"/>
          <w:sz w:val="20"/>
          <w:lang w:val="hr-HR"/>
        </w:rPr>
      </w:pPr>
      <w:r>
        <w:rPr>
          <w:rFonts w:ascii="Arial" w:hAnsi="Arial"/>
          <w:sz w:val="20"/>
          <w:lang w:val="hr-HR"/>
        </w:rPr>
        <w:t>KLASA:</w:t>
      </w:r>
      <w:r>
        <w:rPr>
          <w:rFonts w:ascii="Arial" w:hAnsi="Arial"/>
          <w:sz w:val="20"/>
          <w:lang w:val="hr-HR"/>
        </w:rPr>
        <w:tab/>
      </w:r>
      <w:r>
        <w:rPr>
          <w:rFonts w:ascii="Arial" w:hAnsi="Arial"/>
          <w:sz w:val="20"/>
          <w:lang w:val="hr-HR"/>
        </w:rPr>
        <w:tab/>
      </w:r>
      <w:r w:rsidR="003354F8">
        <w:rPr>
          <w:rFonts w:ascii="Arial" w:hAnsi="Arial"/>
          <w:sz w:val="20"/>
          <w:lang w:val="hr-HR"/>
        </w:rPr>
        <w:t>021-05/17-01/71</w:t>
      </w:r>
    </w:p>
    <w:p w:rsidR="009A100E" w:rsidRDefault="003354F8">
      <w:pPr>
        <w:jc w:val="both"/>
        <w:rPr>
          <w:rFonts w:ascii="Arial" w:hAnsi="Arial"/>
          <w:sz w:val="20"/>
          <w:lang w:val="hr-HR"/>
        </w:rPr>
      </w:pPr>
      <w:r>
        <w:rPr>
          <w:rFonts w:ascii="Arial" w:hAnsi="Arial"/>
          <w:sz w:val="20"/>
          <w:lang w:val="hr-HR"/>
        </w:rPr>
        <w:t>UR</w:t>
      </w:r>
      <w:r w:rsidR="00404B76">
        <w:rPr>
          <w:rFonts w:ascii="Arial" w:hAnsi="Arial"/>
          <w:sz w:val="20"/>
          <w:lang w:val="hr-HR"/>
        </w:rPr>
        <w:t>BROJ:</w:t>
      </w:r>
      <w:r w:rsidR="00404B76">
        <w:rPr>
          <w:rFonts w:ascii="Arial" w:hAnsi="Arial"/>
          <w:sz w:val="20"/>
          <w:lang w:val="hr-HR"/>
        </w:rPr>
        <w:tab/>
        <w:t>2109/2-05-17-</w:t>
      </w:r>
      <w:r>
        <w:rPr>
          <w:rFonts w:ascii="Arial" w:hAnsi="Arial"/>
          <w:sz w:val="20"/>
          <w:lang w:val="hr-HR"/>
        </w:rPr>
        <w:t>02</w:t>
      </w:r>
    </w:p>
    <w:p w:rsidR="000C5572" w:rsidRDefault="003354F8">
      <w:pPr>
        <w:jc w:val="both"/>
        <w:rPr>
          <w:rFonts w:ascii="Arial" w:hAnsi="Arial"/>
          <w:lang w:val="hr-HR"/>
        </w:rPr>
      </w:pPr>
      <w:r>
        <w:rPr>
          <w:rFonts w:ascii="Arial" w:hAnsi="Arial"/>
          <w:sz w:val="20"/>
          <w:lang w:val="hr-HR"/>
        </w:rPr>
        <w:t xml:space="preserve">Čakovec,       __________2017. </w:t>
      </w:r>
    </w:p>
    <w:p w:rsidR="000C5572" w:rsidRDefault="000C5572">
      <w:pPr>
        <w:jc w:val="both"/>
        <w:rPr>
          <w:rFonts w:ascii="Arial" w:hAnsi="Arial"/>
          <w:lang w:val="hr-HR"/>
        </w:rPr>
      </w:pPr>
    </w:p>
    <w:p w:rsidR="00EA5BD1" w:rsidRDefault="009A100E" w:rsidP="00404B76">
      <w:pPr>
        <w:ind w:firstLine="567"/>
        <w:jc w:val="right"/>
        <w:rPr>
          <w:rFonts w:ascii="Arial" w:hAnsi="Arial"/>
          <w:lang w:val="hr-HR"/>
        </w:rPr>
      </w:pPr>
      <w:r w:rsidRPr="003354F8">
        <w:rPr>
          <w:rFonts w:ascii="Arial" w:hAnsi="Arial"/>
          <w:b/>
          <w:lang w:val="hr-HR"/>
        </w:rPr>
        <w:t>PREDSJEDNIK GRADSKOG VIJEĆA</w:t>
      </w:r>
      <w:r>
        <w:rPr>
          <w:rFonts w:ascii="Arial" w:hAnsi="Arial"/>
          <w:lang w:val="hr-HR"/>
        </w:rPr>
        <w:t>:</w:t>
      </w:r>
    </w:p>
    <w:p w:rsidR="009A100E" w:rsidRDefault="00034D53" w:rsidP="000C5572">
      <w:pPr>
        <w:ind w:firstLine="567"/>
        <w:jc w:val="center"/>
        <w:rPr>
          <w:rFonts w:ascii="Arial" w:hAnsi="Arial"/>
          <w:lang w:val="hr-HR"/>
        </w:rPr>
      </w:pPr>
      <w:r>
        <w:rPr>
          <w:rFonts w:ascii="Arial" w:hAnsi="Arial"/>
          <w:lang w:val="hr-HR"/>
        </w:rPr>
        <w:t>Jurica Horvat</w:t>
      </w:r>
    </w:p>
    <w:p w:rsidR="00EA5BD1" w:rsidRDefault="00EA5BD1" w:rsidP="000C5572">
      <w:pPr>
        <w:ind w:firstLine="567"/>
        <w:jc w:val="center"/>
        <w:rPr>
          <w:rFonts w:ascii="Arial" w:hAnsi="Arial"/>
          <w:lang w:val="hr-HR"/>
        </w:rPr>
      </w:pPr>
    </w:p>
    <w:p w:rsidR="00EA5BD1" w:rsidRPr="00EA5BD1" w:rsidRDefault="00EA5BD1" w:rsidP="0079291D">
      <w:pPr>
        <w:rPr>
          <w:rFonts w:ascii="Arial" w:hAnsi="Arial" w:cs="Arial"/>
          <w:sz w:val="20"/>
          <w:lang w:val="hr-HR"/>
        </w:rPr>
      </w:pPr>
    </w:p>
    <w:sectPr w:rsidR="00EA5BD1" w:rsidRPr="00EA5BD1" w:rsidSect="00404B76">
      <w:footerReference w:type="even" r:id="rId8"/>
      <w:footerReference w:type="default" r:id="rId9"/>
      <w:pgSz w:w="11907" w:h="16840" w:code="9"/>
      <w:pgMar w:top="1021" w:right="851" w:bottom="1021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3C4" w:rsidRDefault="009C53C4">
      <w:r>
        <w:separator/>
      </w:r>
    </w:p>
  </w:endnote>
  <w:endnote w:type="continuationSeparator" w:id="0">
    <w:p w:rsidR="009C53C4" w:rsidRDefault="009C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bertus Medium">
    <w:altName w:val="Eras Medium ITC"/>
    <w:charset w:val="EE"/>
    <w:family w:val="swiss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00E" w:rsidRDefault="009A100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A100E" w:rsidRDefault="009A100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00E" w:rsidRDefault="009A100E">
    <w:pPr>
      <w:pStyle w:val="Podnoje"/>
      <w:framePr w:wrap="around" w:vAnchor="text" w:hAnchor="margin" w:xAlign="right" w:y="1"/>
      <w:rPr>
        <w:rStyle w:val="Brojstranice"/>
        <w:rFonts w:ascii="Arial" w:hAnsi="Arial" w:cs="Arial"/>
        <w:sz w:val="18"/>
      </w:rPr>
    </w:pPr>
    <w:r>
      <w:rPr>
        <w:rStyle w:val="Brojstranice"/>
        <w:rFonts w:ascii="Arial" w:hAnsi="Arial" w:cs="Arial"/>
        <w:sz w:val="18"/>
      </w:rPr>
      <w:fldChar w:fldCharType="begin"/>
    </w:r>
    <w:r>
      <w:rPr>
        <w:rStyle w:val="Brojstranice"/>
        <w:rFonts w:ascii="Arial" w:hAnsi="Arial" w:cs="Arial"/>
        <w:sz w:val="18"/>
      </w:rPr>
      <w:instrText xml:space="preserve">PAGE  </w:instrText>
    </w:r>
    <w:r>
      <w:rPr>
        <w:rStyle w:val="Brojstranice"/>
        <w:rFonts w:ascii="Arial" w:hAnsi="Arial" w:cs="Arial"/>
        <w:sz w:val="18"/>
      </w:rPr>
      <w:fldChar w:fldCharType="separate"/>
    </w:r>
    <w:r w:rsidR="00A65C87">
      <w:rPr>
        <w:rStyle w:val="Brojstranice"/>
        <w:rFonts w:ascii="Arial" w:hAnsi="Arial" w:cs="Arial"/>
        <w:noProof/>
        <w:sz w:val="18"/>
      </w:rPr>
      <w:t>3</w:t>
    </w:r>
    <w:r>
      <w:rPr>
        <w:rStyle w:val="Brojstranice"/>
        <w:rFonts w:ascii="Arial" w:hAnsi="Arial" w:cs="Arial"/>
        <w:sz w:val="18"/>
      </w:rPr>
      <w:fldChar w:fldCharType="end"/>
    </w: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55"/>
    </w:tblGrid>
    <w:tr w:rsidR="009A100E">
      <w:tblPrEx>
        <w:tblCellMar>
          <w:top w:w="0" w:type="dxa"/>
          <w:bottom w:w="0" w:type="dxa"/>
        </w:tblCellMar>
      </w:tblPrEx>
      <w:tc>
        <w:tcPr>
          <w:tcW w:w="9855" w:type="dxa"/>
        </w:tcPr>
        <w:p w:rsidR="009A100E" w:rsidRDefault="009A100E">
          <w:pPr>
            <w:pStyle w:val="Podnoje"/>
            <w:ind w:right="360"/>
            <w:jc w:val="right"/>
            <w:rPr>
              <w:rFonts w:ascii="Arial" w:hAnsi="Arial" w:cs="Arial"/>
              <w:sz w:val="18"/>
            </w:rPr>
          </w:pPr>
        </w:p>
      </w:tc>
    </w:tr>
  </w:tbl>
  <w:p w:rsidR="009A100E" w:rsidRDefault="009A100E">
    <w:pPr>
      <w:pStyle w:val="Podnoje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3C4" w:rsidRDefault="009C53C4">
      <w:r>
        <w:separator/>
      </w:r>
    </w:p>
  </w:footnote>
  <w:footnote w:type="continuationSeparator" w:id="0">
    <w:p w:rsidR="009C53C4" w:rsidRDefault="009C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4CEA"/>
    <w:multiLevelType w:val="hybridMultilevel"/>
    <w:tmpl w:val="074C5150"/>
    <w:lvl w:ilvl="0" w:tplc="F01A9D3A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5DD6"/>
    <w:multiLevelType w:val="singleLevel"/>
    <w:tmpl w:val="4D8A174A"/>
    <w:lvl w:ilvl="0">
      <w:start w:val="1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2" w15:restartNumberingAfterBreak="0">
    <w:nsid w:val="0C166706"/>
    <w:multiLevelType w:val="hybridMultilevel"/>
    <w:tmpl w:val="1BD2D036"/>
    <w:lvl w:ilvl="0" w:tplc="CAAA4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55A3"/>
    <w:multiLevelType w:val="hybridMultilevel"/>
    <w:tmpl w:val="0C7C2B48"/>
    <w:lvl w:ilvl="0" w:tplc="0409000F">
      <w:start w:val="3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2D641910"/>
    <w:multiLevelType w:val="hybridMultilevel"/>
    <w:tmpl w:val="168A2FD2"/>
    <w:lvl w:ilvl="0" w:tplc="04090005">
      <w:start w:val="1"/>
      <w:numFmt w:val="bullet"/>
      <w:lvlText w:val="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>
      <w:start w:val="1"/>
      <w:numFmt w:val="bullet"/>
      <w:pStyle w:val="tex-uvlaka1"/>
      <w:lvlText w:val="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090001">
      <w:start w:val="3"/>
      <w:numFmt w:val="bullet"/>
      <w:lvlText w:val="–"/>
      <w:lvlJc w:val="left"/>
      <w:pPr>
        <w:tabs>
          <w:tab w:val="num" w:pos="4014"/>
        </w:tabs>
        <w:ind w:left="4014" w:hanging="360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1BE116C"/>
    <w:multiLevelType w:val="hybridMultilevel"/>
    <w:tmpl w:val="21FE94D8"/>
    <w:lvl w:ilvl="0" w:tplc="FFFFFFFF">
      <w:start w:val="1"/>
      <w:numFmt w:val="decimal"/>
      <w:lvlText w:val="%1.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64"/>
        </w:tabs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84"/>
        </w:tabs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6" w15:restartNumberingAfterBreak="0">
    <w:nsid w:val="6ECD7F29"/>
    <w:multiLevelType w:val="hybridMultilevel"/>
    <w:tmpl w:val="5D3425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67002E"/>
    <w:multiLevelType w:val="singleLevel"/>
    <w:tmpl w:val="41DC06C8"/>
    <w:lvl w:ilvl="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abstractNum w:abstractNumId="8" w15:restartNumberingAfterBreak="0">
    <w:nsid w:val="7CD00506"/>
    <w:multiLevelType w:val="hybridMultilevel"/>
    <w:tmpl w:val="52DE6A14"/>
    <w:lvl w:ilvl="0" w:tplc="F01A9D3A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76"/>
    <w:rsid w:val="00034D53"/>
    <w:rsid w:val="00062176"/>
    <w:rsid w:val="00067F7C"/>
    <w:rsid w:val="000737B2"/>
    <w:rsid w:val="000745A5"/>
    <w:rsid w:val="000A0516"/>
    <w:rsid w:val="000C5572"/>
    <w:rsid w:val="000D60C4"/>
    <w:rsid w:val="000E025D"/>
    <w:rsid w:val="0010074B"/>
    <w:rsid w:val="0013510F"/>
    <w:rsid w:val="001661A9"/>
    <w:rsid w:val="001D37FA"/>
    <w:rsid w:val="001E088B"/>
    <w:rsid w:val="00233085"/>
    <w:rsid w:val="00237358"/>
    <w:rsid w:val="00287EED"/>
    <w:rsid w:val="00290280"/>
    <w:rsid w:val="0029334C"/>
    <w:rsid w:val="003005C3"/>
    <w:rsid w:val="003057AD"/>
    <w:rsid w:val="00312094"/>
    <w:rsid w:val="0033205D"/>
    <w:rsid w:val="003354F8"/>
    <w:rsid w:val="0034538C"/>
    <w:rsid w:val="0037714A"/>
    <w:rsid w:val="003A0295"/>
    <w:rsid w:val="003E0076"/>
    <w:rsid w:val="003F576F"/>
    <w:rsid w:val="003F63B4"/>
    <w:rsid w:val="00404B76"/>
    <w:rsid w:val="0043310D"/>
    <w:rsid w:val="00451E74"/>
    <w:rsid w:val="0046316E"/>
    <w:rsid w:val="00465690"/>
    <w:rsid w:val="00473348"/>
    <w:rsid w:val="004A3BAD"/>
    <w:rsid w:val="004C2287"/>
    <w:rsid w:val="004C7717"/>
    <w:rsid w:val="005015AB"/>
    <w:rsid w:val="00510831"/>
    <w:rsid w:val="0052210B"/>
    <w:rsid w:val="005454B2"/>
    <w:rsid w:val="005816B2"/>
    <w:rsid w:val="0058350A"/>
    <w:rsid w:val="00594F34"/>
    <w:rsid w:val="0059504B"/>
    <w:rsid w:val="005A1865"/>
    <w:rsid w:val="005F7513"/>
    <w:rsid w:val="00607CF0"/>
    <w:rsid w:val="006348FA"/>
    <w:rsid w:val="006629D4"/>
    <w:rsid w:val="006A15B1"/>
    <w:rsid w:val="006A7BE7"/>
    <w:rsid w:val="006B4B39"/>
    <w:rsid w:val="006B7D4E"/>
    <w:rsid w:val="006C3E87"/>
    <w:rsid w:val="006F35BB"/>
    <w:rsid w:val="006F38F6"/>
    <w:rsid w:val="006F7967"/>
    <w:rsid w:val="0072315A"/>
    <w:rsid w:val="00734FBB"/>
    <w:rsid w:val="00772699"/>
    <w:rsid w:val="00777B59"/>
    <w:rsid w:val="007834A7"/>
    <w:rsid w:val="00786C52"/>
    <w:rsid w:val="007879BB"/>
    <w:rsid w:val="0079291D"/>
    <w:rsid w:val="007934D4"/>
    <w:rsid w:val="007C54F2"/>
    <w:rsid w:val="007F1297"/>
    <w:rsid w:val="007F3076"/>
    <w:rsid w:val="008249C5"/>
    <w:rsid w:val="00845D1A"/>
    <w:rsid w:val="00881F99"/>
    <w:rsid w:val="00884B0C"/>
    <w:rsid w:val="00897B69"/>
    <w:rsid w:val="008A5313"/>
    <w:rsid w:val="008A6782"/>
    <w:rsid w:val="008D3121"/>
    <w:rsid w:val="008E2D7C"/>
    <w:rsid w:val="008F59AA"/>
    <w:rsid w:val="0093277E"/>
    <w:rsid w:val="00937B17"/>
    <w:rsid w:val="00960024"/>
    <w:rsid w:val="0096366A"/>
    <w:rsid w:val="00966ABB"/>
    <w:rsid w:val="0098419B"/>
    <w:rsid w:val="00994F00"/>
    <w:rsid w:val="009A100E"/>
    <w:rsid w:val="009C3B73"/>
    <w:rsid w:val="009C53C4"/>
    <w:rsid w:val="009F4F9E"/>
    <w:rsid w:val="00A00CDC"/>
    <w:rsid w:val="00A527F6"/>
    <w:rsid w:val="00A65C87"/>
    <w:rsid w:val="00AA38FF"/>
    <w:rsid w:val="00AA4FF6"/>
    <w:rsid w:val="00AC527E"/>
    <w:rsid w:val="00AC6A1D"/>
    <w:rsid w:val="00B13DD9"/>
    <w:rsid w:val="00B218CC"/>
    <w:rsid w:val="00B53DC6"/>
    <w:rsid w:val="00BC6878"/>
    <w:rsid w:val="00BD6889"/>
    <w:rsid w:val="00BF5403"/>
    <w:rsid w:val="00BF7F92"/>
    <w:rsid w:val="00C06291"/>
    <w:rsid w:val="00C1498C"/>
    <w:rsid w:val="00C652A0"/>
    <w:rsid w:val="00D45BF3"/>
    <w:rsid w:val="00D4766C"/>
    <w:rsid w:val="00D8535B"/>
    <w:rsid w:val="00D93A68"/>
    <w:rsid w:val="00DD3277"/>
    <w:rsid w:val="00E05E78"/>
    <w:rsid w:val="00E17D67"/>
    <w:rsid w:val="00E17F61"/>
    <w:rsid w:val="00E21313"/>
    <w:rsid w:val="00E56BA7"/>
    <w:rsid w:val="00E96B0F"/>
    <w:rsid w:val="00EA5BD1"/>
    <w:rsid w:val="00EE5F6F"/>
    <w:rsid w:val="00F12F9C"/>
    <w:rsid w:val="00FD36EA"/>
    <w:rsid w:val="00FD657C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F76AF-2E9E-4778-877F-EBA8E624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lang w:val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tabs>
        <w:tab w:val="center" w:pos="6237"/>
      </w:tabs>
      <w:jc w:val="both"/>
      <w:outlineLvl w:val="3"/>
    </w:pPr>
    <w:rPr>
      <w:rFonts w:ascii="Albertus Medium" w:hAnsi="Albertus Medium"/>
      <w:sz w:val="28"/>
    </w:rPr>
  </w:style>
  <w:style w:type="paragraph" w:styleId="Naslov5">
    <w:name w:val="heading 5"/>
    <w:basedOn w:val="Normal"/>
    <w:next w:val="Normal"/>
    <w:qFormat/>
    <w:pPr>
      <w:keepNext/>
      <w:tabs>
        <w:tab w:val="center" w:pos="6237"/>
      </w:tabs>
      <w:jc w:val="both"/>
      <w:outlineLvl w:val="4"/>
    </w:pPr>
    <w:rPr>
      <w:rFonts w:ascii="Albertus Medium" w:hAnsi="Albertus Medium"/>
      <w:b/>
      <w:sz w:val="24"/>
    </w:rPr>
  </w:style>
  <w:style w:type="paragraph" w:styleId="Naslov6">
    <w:name w:val="heading 6"/>
    <w:basedOn w:val="Normal"/>
    <w:next w:val="Normal"/>
    <w:qFormat/>
    <w:pPr>
      <w:keepNext/>
      <w:ind w:left="142" w:hanging="142"/>
      <w:jc w:val="both"/>
      <w:outlineLvl w:val="5"/>
    </w:pPr>
    <w:rPr>
      <w:rFonts w:ascii="Arial" w:hAnsi="Arial"/>
      <w:b/>
      <w:lang w:val="hr-HR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lang w:val="hr-HR"/>
    </w:rPr>
  </w:style>
  <w:style w:type="paragraph" w:styleId="Naslov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rFonts w:ascii="Arial" w:hAnsi="Arial"/>
      <w:lang w:val="hr-HR"/>
    </w:rPr>
  </w:style>
  <w:style w:type="paragraph" w:styleId="Uvuenotijeloteksta">
    <w:name w:val="Body Text Indent"/>
    <w:basedOn w:val="Normal"/>
    <w:semiHidden/>
    <w:pPr>
      <w:ind w:left="142" w:hanging="142"/>
      <w:jc w:val="both"/>
    </w:pPr>
    <w:rPr>
      <w:rFonts w:ascii="Arial" w:hAnsi="Arial"/>
      <w:lang w:val="hr-HR"/>
    </w:rPr>
  </w:style>
  <w:style w:type="paragraph" w:styleId="Tijeloteksta-uvlaka2">
    <w:name w:val="Body Text Indent 2"/>
    <w:aliases w:val="  uvlaka 2"/>
    <w:basedOn w:val="Normal"/>
    <w:semiHidden/>
    <w:pPr>
      <w:ind w:left="284" w:hanging="284"/>
    </w:pPr>
    <w:rPr>
      <w:rFonts w:ascii="Arial" w:hAnsi="Arial"/>
      <w:lang w:val="hr-HR"/>
    </w:rPr>
  </w:style>
  <w:style w:type="paragraph" w:styleId="Tijeloteksta-uvlaka3">
    <w:name w:val="Body Text Indent 3"/>
    <w:aliases w:val=" uvlaka 3"/>
    <w:basedOn w:val="Normal"/>
    <w:semiHidden/>
    <w:pPr>
      <w:ind w:left="284" w:hanging="284"/>
      <w:jc w:val="both"/>
    </w:pPr>
    <w:rPr>
      <w:rFonts w:ascii="Arial" w:hAnsi="Arial"/>
    </w:rPr>
  </w:style>
  <w:style w:type="paragraph" w:styleId="Zaglavlj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semiHidden/>
  </w:style>
  <w:style w:type="paragraph" w:styleId="Tijeloteksta2">
    <w:name w:val="Body Text 2"/>
    <w:basedOn w:val="Normal"/>
    <w:semiHidden/>
    <w:pPr>
      <w:jc w:val="both"/>
    </w:pPr>
    <w:rPr>
      <w:rFonts w:ascii="Albertus Medium" w:hAnsi="Albertus Medium"/>
      <w:lang w:val="en-AU"/>
    </w:rPr>
  </w:style>
  <w:style w:type="paragraph" w:styleId="Naslov">
    <w:name w:val="Title"/>
    <w:basedOn w:val="Normal"/>
    <w:qFormat/>
    <w:pPr>
      <w:ind w:right="5669"/>
      <w:jc w:val="center"/>
    </w:pPr>
    <w:rPr>
      <w:rFonts w:ascii="Albertus Medium" w:hAnsi="Albertus Medium"/>
      <w:b/>
      <w:sz w:val="28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02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A0295"/>
    <w:rPr>
      <w:rFonts w:ascii="Segoe UI" w:hAnsi="Segoe UI" w:cs="Segoe UI"/>
      <w:sz w:val="18"/>
      <w:szCs w:val="18"/>
      <w:lang w:val="en-US"/>
    </w:rPr>
  </w:style>
  <w:style w:type="character" w:customStyle="1" w:styleId="urbanizam">
    <w:name w:val="urbanizam"/>
    <w:rsid w:val="0052210B"/>
    <w:rPr>
      <w:rFonts w:ascii="Century Gothic" w:hAnsi="Century Gothic" w:cs="Arial"/>
      <w:spacing w:val="0"/>
      <w:w w:val="95"/>
      <w:position w:val="0"/>
      <w:sz w:val="22"/>
    </w:rPr>
  </w:style>
  <w:style w:type="paragraph" w:customStyle="1" w:styleId="tex-uvlaka1">
    <w:name w:val="tex-uvlaka1"/>
    <w:basedOn w:val="Uvuenotijeloteksta"/>
    <w:rsid w:val="0052210B"/>
    <w:pPr>
      <w:numPr>
        <w:ilvl w:val="1"/>
        <w:numId w:val="8"/>
      </w:numPr>
      <w:tabs>
        <w:tab w:val="left" w:pos="851"/>
      </w:tabs>
      <w:spacing w:after="120"/>
    </w:pPr>
    <w:rPr>
      <w:rFonts w:ascii="Tahoma" w:hAnsi="Tahoma" w:cs="Tahoma"/>
      <w:bCs/>
      <w:w w:val="11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364C-09A2-47BB-A6F1-7BAAEC56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1321</Words>
  <Characters>7717</Characters>
  <Application>Microsoft Office Word</Application>
  <DocSecurity>0</DocSecurity>
  <Lines>285</Lines>
  <Paragraphs>110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Grad Cakovec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BOZO KONTEK</dc:creator>
  <cp:keywords/>
  <cp:lastModifiedBy>Boris Kikelj</cp:lastModifiedBy>
  <cp:revision>2</cp:revision>
  <cp:lastPrinted>2015-04-22T06:29:00Z</cp:lastPrinted>
  <dcterms:created xsi:type="dcterms:W3CDTF">2017-10-26T11:00:00Z</dcterms:created>
  <dcterms:modified xsi:type="dcterms:W3CDTF">2017-10-26T11:00:00Z</dcterms:modified>
</cp:coreProperties>
</file>